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220"/>
      </w:pPr>
    </w:p>
    <w:p>
      <w:pPr>
        <w:spacing w:before="0" w:after="30"/>
        <w:jc w:val="center"/>
      </w:pPr>
      <w:r>
        <w:rPr>
          <w:rFonts w:ascii="Calibri" w:cs="Calibri" w:eastAsia="Calibri" w:hAnsi="Calibri"/>
          <w:b/>
          <w:bCs/>
          <w:caps/>
          <w:color w:val="2E75B6"/>
          <w:sz w:val="24"/>
          <w:szCs w:val="24"/>
        </w:rPr>
        <w:t xml:space="preserve">OUTIL 3.3</w:t>
      </w:r>
    </w:p>
    <w:p>
      <w:pPr>
        <w:spacing w:before="0" w:after="50"/>
        <w:jc w:val="center"/>
      </w:pPr>
      <w:r>
        <w:rPr>
          <w:rFonts w:ascii="Calibri" w:cs="Calibri" w:eastAsia="Calibri" w:hAnsi="Calibri"/>
          <w:b/>
          <w:bCs/>
          <w:color w:val="1B3A6B"/>
          <w:sz w:val="52"/>
          <w:szCs w:val="52"/>
        </w:rPr>
        <w:t xml:space="preserve">CONTRAT DE MISSION</w:t>
      </w:r>
    </w:p>
    <w:p>
      <w:pPr>
        <w:spacing w:before="0" w:after="30"/>
        <w:jc w:val="center"/>
      </w:pPr>
      <w:r>
        <w:rPr>
          <w:rFonts w:ascii="Calibri" w:cs="Calibri" w:eastAsia="Calibri" w:hAnsi="Calibri"/>
          <w:b/>
          <w:bCs/>
          <w:color w:val="2E75B6"/>
          <w:sz w:val="28"/>
          <w:szCs w:val="28"/>
        </w:rPr>
        <w:t xml:space="preserve">CONSULTING EN EXCELLENCE OPÉRATIONNELLE</w:t>
      </w:r>
    </w:p>
    <w:p>
      <w:pPr>
        <w:spacing w:before="0" w:after="40"/>
        <w:jc w:val="center"/>
      </w:pPr>
      <w:r>
        <w:rPr>
          <w:rFonts w:ascii="Calibri" w:cs="Calibri" w:eastAsia="Calibri" w:hAnsi="Calibri"/>
          <w:i/>
          <w:iCs/>
          <w:color w:val="595959"/>
          <w:sz w:val="22"/>
          <w:szCs w:val="22"/>
        </w:rPr>
        <w:t xml:space="preserve">Lean · Six Sigma · SMED · Kaizen · TPS</w:t>
      </w:r>
    </w:p>
    <w:p>
      <w:pPr>
        <w:spacing w:before="0" w:after="1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CCCCC" w:sz="1"/>
              <w:left w:val="single" w:color="CCCCCC" w:sz="1"/>
              <w:bottom w:val="single" w:color="CCCCCC" w:sz="1"/>
              <w:right w:val="single" w:color="CCCCCC" w:sz="1"/>
            </w:tcBorders>
            <w:shd w:fill="EBF3FB" w:val="clear"/>
            <w:tcMar>
              <w:top w:type="dxa" w:w="100"/>
              <w:left w:type="dxa" w:w="180"/>
              <w:bottom w:type="dxa" w:w="100"/>
              <w:right w:type="dxa" w:w="180"/>
            </w:tcMar>
          </w:tcPr>
          <w:p>
            <w:pPr>
              <w:spacing w:before="0" w:after="40"/>
            </w:pPr>
            <w:r>
              <w:rPr>
                <w:rFonts w:ascii="Calibri" w:cs="Calibri" w:eastAsia="Calibri" w:hAnsi="Calibri"/>
                <w:b/>
                <w:bCs/>
                <w:color w:val="1B3A6B"/>
                <w:sz w:val="20"/>
                <w:szCs w:val="20"/>
              </w:rPr>
              <w:t xml:space="preserve">LE PRESTATAIRE (Consultant)</w:t>
            </w:r>
          </w:p>
          <w:p>
            <w:pPr>
              <w:spacing w:before="0" w:after="20"/>
            </w:pPr>
            <w:r>
              <w:rPr>
                <w:rFonts w:ascii="Calibri" w:cs="Calibri" w:eastAsia="Calibri" w:hAnsi="Calibri"/>
                <w:sz w:val="20"/>
                <w:szCs w:val="20"/>
              </w:rPr>
              <w:t xml:space="preserve">Raison sociale : _______________________________</w:t>
            </w:r>
          </w:p>
          <w:p>
            <w:pPr>
              <w:spacing w:before="0" w:after="20"/>
            </w:pPr>
            <w:r>
              <w:rPr>
                <w:rFonts w:ascii="Calibri" w:cs="Calibri" w:eastAsia="Calibri" w:hAnsi="Calibri"/>
                <w:sz w:val="20"/>
                <w:szCs w:val="20"/>
              </w:rPr>
              <w:t xml:space="preserve">Forme juridique : ______________________________</w:t>
            </w:r>
          </w:p>
          <w:p>
            <w:pPr>
              <w:spacing w:before="0" w:after="20"/>
            </w:pPr>
            <w:r>
              <w:rPr>
                <w:rFonts w:ascii="Calibri" w:cs="Calibri" w:eastAsia="Calibri" w:hAnsi="Calibri"/>
                <w:sz w:val="20"/>
                <w:szCs w:val="20"/>
              </w:rPr>
              <w:t xml:space="preserve">SIRET / TVA : __________________________________</w:t>
            </w:r>
          </w:p>
          <w:p>
            <w:pPr>
              <w:spacing w:before="0" w:after="20"/>
            </w:pPr>
            <w:r>
              <w:rPr>
                <w:rFonts w:ascii="Calibri" w:cs="Calibri" w:eastAsia="Calibri" w:hAnsi="Calibri"/>
                <w:sz w:val="20"/>
                <w:szCs w:val="20"/>
              </w:rPr>
              <w:t xml:space="preserve">Adresse : _____________________________________</w:t>
            </w:r>
          </w:p>
          <w:p>
            <w:pPr>
              <w:spacing w:before="0" w:after="20"/>
            </w:pPr>
            <w:r>
              <w:rPr>
                <w:rFonts w:ascii="Calibri" w:cs="Calibri" w:eastAsia="Calibri" w:hAnsi="Calibri"/>
                <w:sz w:val="20"/>
                <w:szCs w:val="20"/>
              </w:rPr>
              <w:t xml:space="preserve">Représenté par : _______________________________</w:t>
            </w:r>
          </w:p>
          <w:p>
            <w:pPr>
              <w:spacing w:before="0" w:after="0"/>
            </w:pPr>
            <w:r>
              <w:rPr>
                <w:rFonts w:ascii="Calibri" w:cs="Calibri" w:eastAsia="Calibri" w:hAnsi="Calibri"/>
                <w:sz w:val="20"/>
                <w:szCs w:val="20"/>
              </w:rPr>
              <w:t xml:space="preserve">En qualité de : ________________________________</w:t>
            </w:r>
          </w:p>
        </w:tc>
        <w:tc>
          <w:tcPr>
            <w:tcW w:type="dxa" w:w="4680"/>
            <w:tcBorders>
              <w:top w:val="single" w:color="CCCCCC" w:sz="1"/>
              <w:left w:val="single" w:color="CCCCCC" w:sz="1"/>
              <w:bottom w:val="single" w:color="CCCCCC" w:sz="1"/>
              <w:right w:val="single" w:color="CCCCCC" w:sz="1"/>
            </w:tcBorders>
            <w:shd w:fill="FCE4D6" w:val="clear"/>
            <w:tcMar>
              <w:top w:type="dxa" w:w="100"/>
              <w:left w:type="dxa" w:w="180"/>
              <w:bottom w:type="dxa" w:w="100"/>
              <w:right w:type="dxa" w:w="180"/>
            </w:tcMar>
          </w:tcPr>
          <w:p>
            <w:pPr>
              <w:spacing w:before="0" w:after="40"/>
            </w:pPr>
            <w:r>
              <w:rPr>
                <w:rFonts w:ascii="Calibri" w:cs="Calibri" w:eastAsia="Calibri" w:hAnsi="Calibri"/>
                <w:b/>
                <w:bCs/>
                <w:color w:val="C55A11"/>
                <w:sz w:val="20"/>
                <w:szCs w:val="20"/>
              </w:rPr>
              <w:t xml:space="preserve">LE CLIENT</w:t>
            </w:r>
          </w:p>
          <w:p>
            <w:pPr>
              <w:spacing w:before="0" w:after="20"/>
            </w:pPr>
            <w:r>
              <w:rPr>
                <w:rFonts w:ascii="Calibri" w:cs="Calibri" w:eastAsia="Calibri" w:hAnsi="Calibri"/>
                <w:sz w:val="20"/>
                <w:szCs w:val="20"/>
              </w:rPr>
              <w:t xml:space="preserve">Raison sociale : _______________________________</w:t>
            </w:r>
          </w:p>
          <w:p>
            <w:pPr>
              <w:spacing w:before="0" w:after="20"/>
            </w:pPr>
            <w:r>
              <w:rPr>
                <w:rFonts w:ascii="Calibri" w:cs="Calibri" w:eastAsia="Calibri" w:hAnsi="Calibri"/>
                <w:sz w:val="20"/>
                <w:szCs w:val="20"/>
              </w:rPr>
              <w:t xml:space="preserve">Forme juridique : ______________________________</w:t>
            </w:r>
          </w:p>
          <w:p>
            <w:pPr>
              <w:spacing w:before="0" w:after="20"/>
            </w:pPr>
            <w:r>
              <w:rPr>
                <w:rFonts w:ascii="Calibri" w:cs="Calibri" w:eastAsia="Calibri" w:hAnsi="Calibri"/>
                <w:sz w:val="20"/>
                <w:szCs w:val="20"/>
              </w:rPr>
              <w:t xml:space="preserve">SIRET / TVA : __________________________________</w:t>
            </w:r>
          </w:p>
          <w:p>
            <w:pPr>
              <w:spacing w:before="0" w:after="20"/>
            </w:pPr>
            <w:r>
              <w:rPr>
                <w:rFonts w:ascii="Calibri" w:cs="Calibri" w:eastAsia="Calibri" w:hAnsi="Calibri"/>
                <w:sz w:val="20"/>
                <w:szCs w:val="20"/>
              </w:rPr>
              <w:t xml:space="preserve">Adresse : _____________________________________</w:t>
            </w:r>
          </w:p>
          <w:p>
            <w:pPr>
              <w:spacing w:before="0" w:after="20"/>
            </w:pPr>
            <w:r>
              <w:rPr>
                <w:rFonts w:ascii="Calibri" w:cs="Calibri" w:eastAsia="Calibri" w:hAnsi="Calibri"/>
                <w:sz w:val="20"/>
                <w:szCs w:val="20"/>
              </w:rPr>
              <w:t xml:space="preserve">Représenté par : _______________________________</w:t>
            </w:r>
          </w:p>
          <w:p>
            <w:pPr>
              <w:spacing w:before="0" w:after="0"/>
            </w:pPr>
            <w:r>
              <w:rPr>
                <w:rFonts w:ascii="Calibri" w:cs="Calibri" w:eastAsia="Calibri" w:hAnsi="Calibri"/>
                <w:sz w:val="20"/>
                <w:szCs w:val="20"/>
              </w:rPr>
              <w:t xml:space="preserve">En qualité de : ________________________________</w:t>
            </w:r>
          </w:p>
        </w:tc>
      </w:tr>
    </w:tbl>
    <w:p>
      <w:pPr>
        <w:spacing w:before="0" w:after="14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CCCCCC" w:sz="1"/>
              <w:left w:val="single" w:color="CCCCCC" w:sz="1"/>
              <w:bottom w:val="single" w:color="CCCCCC" w:sz="1"/>
              <w:right w:val="single" w:color="CCCCCC" w:sz="1"/>
            </w:tcBorders>
            <w:shd w:fill="F5F5F7" w:val="clear"/>
            <w:tcMar>
              <w:top w:type="dxa" w:w="80"/>
              <w:left w:type="dxa" w:w="160"/>
              <w:bottom w:type="dxa" w:w="80"/>
              <w:right w:type="dxa" w:w="160"/>
            </w:tcMar>
          </w:tcPr>
          <w:p>
            <w:pPr>
              <w:spacing w:before="0" w:after="40"/>
            </w:pPr>
            <w:r>
              <w:rPr>
                <w:rFonts w:ascii="Calibri" w:cs="Calibri" w:eastAsia="Calibri" w:hAnsi="Calibri"/>
                <w:b/>
                <w:bCs/>
                <w:color w:val="1B3A6B"/>
                <w:sz w:val="19"/>
                <w:szCs w:val="19"/>
              </w:rPr>
              <w:t xml:space="preserve">N° DU CONTRAT</w:t>
            </w:r>
          </w:p>
          <w:p>
            <w:pPr>
              <w:pBdr>
                <w:bottom w:val="single" w:color="CCCCCC" w:sz="1"/>
              </w:pBdr>
              <w:spacing w:before="0" w:after="0"/>
            </w:pPr>
          </w:p>
        </w:tc>
        <w:tc>
          <w:tcPr>
            <w:tcW w:type="dxa" w:w="3120"/>
            <w:tcBorders>
              <w:top w:val="single" w:color="CCCCCC" w:sz="1"/>
              <w:left w:val="single" w:color="CCCCCC" w:sz="1"/>
              <w:bottom w:val="single" w:color="CCCCCC" w:sz="1"/>
              <w:right w:val="single" w:color="CCCCCC" w:sz="1"/>
            </w:tcBorders>
            <w:shd w:fill="F5F5F7" w:val="clear"/>
            <w:tcMar>
              <w:top w:type="dxa" w:w="80"/>
              <w:left w:type="dxa" w:w="160"/>
              <w:bottom w:type="dxa" w:w="80"/>
              <w:right w:type="dxa" w:w="160"/>
            </w:tcMar>
          </w:tcPr>
          <w:p>
            <w:pPr>
              <w:spacing w:before="0" w:after="40"/>
            </w:pPr>
            <w:r>
              <w:rPr>
                <w:rFonts w:ascii="Calibri" w:cs="Calibri" w:eastAsia="Calibri" w:hAnsi="Calibri"/>
                <w:b/>
                <w:bCs/>
                <w:color w:val="1B3A6B"/>
                <w:sz w:val="19"/>
                <w:szCs w:val="19"/>
              </w:rPr>
              <w:t xml:space="preserve">DATE DE SIGNATURE</w:t>
            </w:r>
          </w:p>
          <w:p>
            <w:pPr>
              <w:pBdr>
                <w:bottom w:val="single" w:color="CCCCCC" w:sz="1"/>
              </w:pBdr>
              <w:spacing w:before="0" w:after="0"/>
            </w:pPr>
          </w:p>
        </w:tc>
        <w:tc>
          <w:tcPr>
            <w:tcW w:type="dxa" w:w="3120"/>
            <w:tcBorders>
              <w:top w:val="single" w:color="CCCCCC" w:sz="1"/>
              <w:left w:val="single" w:color="CCCCCC" w:sz="1"/>
              <w:bottom w:val="single" w:color="CCCCCC" w:sz="1"/>
              <w:right w:val="single" w:color="CCCCCC" w:sz="1"/>
            </w:tcBorders>
            <w:shd w:fill="F5F5F7" w:val="clear"/>
            <w:tcMar>
              <w:top w:type="dxa" w:w="80"/>
              <w:left w:type="dxa" w:w="160"/>
              <w:bottom w:type="dxa" w:w="80"/>
              <w:right w:type="dxa" w:w="160"/>
            </w:tcMar>
          </w:tcPr>
          <w:p>
            <w:pPr>
              <w:spacing w:before="0" w:after="40"/>
            </w:pPr>
            <w:r>
              <w:rPr>
                <w:rFonts w:ascii="Calibri" w:cs="Calibri" w:eastAsia="Calibri" w:hAnsi="Calibri"/>
                <w:b/>
                <w:bCs/>
                <w:color w:val="1B3A6B"/>
                <w:sz w:val="19"/>
                <w:szCs w:val="19"/>
              </w:rPr>
              <w:t xml:space="preserve">VERSION</w:t>
            </w:r>
          </w:p>
          <w:p>
            <w:pPr>
              <w:spacing w:before="0" w:after="0"/>
            </w:pPr>
            <w:r>
              <w:rPr>
                <w:rFonts w:ascii="Calibri" w:cs="Calibri" w:eastAsia="Calibri" w:hAnsi="Calibri"/>
                <w:color w:val="595959"/>
                <w:sz w:val="19"/>
                <w:szCs w:val="19"/>
              </w:rPr>
              <w:t xml:space="preserve">V1.0 — Document original</w:t>
            </w:r>
          </w:p>
        </w:tc>
      </w:tr>
    </w:tbl>
    <w:p>
      <w:pPr>
        <w:spacing w:before="0" w:after="1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3A6B" w:val="clear"/>
            <w:tcMar>
              <w:top w:type="dxa" w:w="220"/>
              <w:left w:type="dxa" w:w="340"/>
              <w:bottom w:type="dxa" w:w="220"/>
              <w:right w:type="dxa" w:w="340"/>
            </w:tcMar>
          </w:tcPr>
          <w:p>
            <w:pPr>
              <w:spacing w:before="0" w:after="0"/>
              <w:jc w:val="center"/>
            </w:pPr>
            <w:r>
              <w:rPr>
                <w:rFonts w:ascii="Calibri" w:cs="Calibri" w:eastAsia="Calibri" w:hAnsi="Calibri"/>
                <w:b/>
                <w:bCs/>
                <w:color w:val="FFFFFF"/>
                <w:sz w:val="20"/>
                <w:szCs w:val="20"/>
              </w:rPr>
              <w:t xml:space="preserve">CI-APRÈS ENSEMBLE DÉNOMMÉES « LES PARTIES » — ONT CONVENU ET ARRÊTÉ CE QUI SUIT</w:t>
            </w:r>
          </w:p>
        </w:tc>
      </w:tr>
    </w:tbl>
    <w:p>
      <w:pPr>
        <w:spacing w:before="0" w:after="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55A11" w:sz="4"/>
              <w:left w:val="single" w:color="C55A11" w:sz="16"/>
              <w:bottom w:val="single" w:color="C55A11" w:sz="4"/>
              <w:right w:val="none" w:color="FFFFFF" w:sz="0"/>
            </w:tcBorders>
            <w:shd w:fill="FCE4D6" w:val="clear"/>
            <w:tcMar>
              <w:top w:type="dxa" w:w="140"/>
              <w:left w:type="dxa" w:w="220"/>
              <w:bottom w:type="dxa" w:w="140"/>
              <w:right w:type="dxa" w:w="200"/>
            </w:tcMar>
          </w:tcPr>
          <w:p>
            <w:pPr>
              <w:spacing w:before="0" w:after="80"/>
            </w:pPr>
            <w:r>
              <w:rPr>
                <w:rFonts w:ascii="Calibri" w:cs="Calibri" w:eastAsia="Calibri" w:hAnsi="Calibri"/>
                <w:b/>
                <w:bCs/>
                <w:color w:val="C55A11"/>
                <w:sz w:val="21"/>
                <w:szCs w:val="21"/>
              </w:rPr>
              <w:t xml:space="preserve">⚠  AVERTISSEMENT JURIDIQUE</w:t>
            </w:r>
          </w:p>
          <w:p>
            <w:pPr>
              <w:pStyle w:val="ListParagraph"/>
              <w:numPr>
                <w:ilvl w:val="0"/>
                <w:numId w:val="2"/>
              </w:numPr>
              <w:spacing w:before="30" w:after="30"/>
            </w:pPr>
            <w:r>
              <w:rPr>
                <w:rFonts w:ascii="Calibri" w:cs="Calibri" w:eastAsia="Calibri" w:hAnsi="Calibri"/>
                <w:color w:val="2C2C2C"/>
                <w:sz w:val="20"/>
                <w:szCs w:val="20"/>
              </w:rPr>
              <w:t xml:space="preserve">Ce document est un modèle de contrat à des fins pédagogiques. Il doit être adapté à votre situation spécifique et validé par un juriste ou un avocat spécialisé.</w:t>
            </w:r>
          </w:p>
          <w:p>
            <w:pPr>
              <w:pStyle w:val="ListParagraph"/>
              <w:numPr>
                <w:ilvl w:val="0"/>
                <w:numId w:val="2"/>
              </w:numPr>
              <w:spacing w:before="30" w:after="30"/>
            </w:pPr>
            <w:r>
              <w:rPr>
                <w:rFonts w:ascii="Calibri" w:cs="Calibri" w:eastAsia="Calibri" w:hAnsi="Calibri"/>
                <w:color w:val="2C2C2C"/>
                <w:sz w:val="20"/>
                <w:szCs w:val="20"/>
              </w:rPr>
              <w:t xml:space="preserve">Ce modèle est régi par le droit français. Les mentions obligatoires peuvent varier selon la forme juridique des parties et la nature de la mission.</w:t>
            </w:r>
          </w:p>
          <w:p>
            <w:pPr>
              <w:pStyle w:val="ListParagraph"/>
              <w:numPr>
                <w:ilvl w:val="0"/>
                <w:numId w:val="2"/>
              </w:numPr>
              <w:spacing w:before="30" w:after="30"/>
            </w:pPr>
            <w:r>
              <w:rPr>
                <w:rFonts w:ascii="Calibri" w:cs="Calibri" w:eastAsia="Calibri" w:hAnsi="Calibri"/>
                <w:color w:val="2C2C2C"/>
                <w:sz w:val="20"/>
                <w:szCs w:val="20"/>
              </w:rPr>
              <w:t xml:space="preserve">Les clauses marquées [À COMPLÉTER] ou [OPTION] doivent être revues et personnalisées avant signature.</w:t>
            </w:r>
          </w:p>
        </w:tc>
      </w:tr>
    </w:tbl>
    <w:p>
      <w:r>
        <w:br w:type="page"/>
      </w:r>
    </w:p>
    <w:p>
      <w:pPr>
        <w:spacing w:before="0" w:after="100"/>
      </w:pPr>
    </w:p>
    <w:p>
      <w:pPr>
        <w:pStyle w:val="Heading2"/>
        <w:spacing w:before="200" w:after="120"/>
      </w:pPr>
      <w:r>
        <w:rPr>
          <w:rFonts w:ascii="Calibri" w:cs="Calibri" w:eastAsia="Calibri" w:hAnsi="Calibri"/>
          <w:b/>
          <w:bCs/>
          <w:color w:val="1B3A6B"/>
          <w:sz w:val="26"/>
          <w:szCs w:val="26"/>
        </w:rPr>
        <w:t xml:space="preserve">PRÉAMBULE</w:t>
      </w:r>
    </w:p>
    <w:p>
      <w:pPr>
        <w:spacing w:before="100" w:after="140"/>
      </w:pPr>
      <w:r>
        <w:rPr>
          <w:rFonts w:ascii="Calibri" w:cs="Calibri" w:eastAsia="Calibri" w:hAnsi="Calibri"/>
          <w:color w:val="2C2C2C"/>
          <w:sz w:val="21"/>
          <w:szCs w:val="21"/>
        </w:rPr>
        <w:t xml:space="preserve">Le Prestataire est un consultant indépendant spécialisé en Excellence Opérationnelle, maîtrisant les méthodologies Lean (Toyota Production System), Six Sigma (DMAIC), SMED (Single Minute Exchange of Die) et Kaizen. Il intervient en tant que conseil et accompagnateur de projets de transformation opérationnelle.</w:t>
      </w:r>
    </w:p>
    <w:p>
      <w:pPr>
        <w:spacing w:before="100" w:after="140"/>
      </w:pPr>
      <w:r>
        <w:rPr>
          <w:rFonts w:ascii="Calibri" w:cs="Calibri" w:eastAsia="Calibri" w:hAnsi="Calibri"/>
          <w:color w:val="2C2C2C"/>
          <w:sz w:val="21"/>
          <w:szCs w:val="21"/>
        </w:rPr>
        <w:t xml:space="preserve">Le Client souhaite bénéficier d'une mission d'accompagnement en Excellence Opérationnelle visant à améliorer ses performances opérationnelles sur le périmètre défini dans le Project Charter annexé au présent contrat (Annexe A).</w:t>
      </w:r>
    </w:p>
    <w:p>
      <w:pPr>
        <w:spacing w:before="100" w:after="140"/>
      </w:pPr>
      <w:r>
        <w:rPr>
          <w:rFonts w:ascii="Calibri" w:cs="Calibri" w:eastAsia="Calibri" w:hAnsi="Calibri"/>
          <w:color w:val="2C2C2C"/>
          <w:sz w:val="21"/>
          <w:szCs w:val="21"/>
        </w:rPr>
        <w:t xml:space="preserve">Les Parties ont convenu de formaliser leurs engagements réciproques dans le présent contrat de mission de conseil.</w:t>
      </w:r>
    </w:p>
    <w:p>
      <w:pPr>
        <w:spacing w:before="0" w:after="1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1B3A6B" w:sz="16"/>
              <w:bottom w:val="single" w:color="1B3A6B" w:sz="4"/>
              <w:right w:val="none" w:color="FFFFFF" w:sz="0"/>
            </w:tcBorders>
            <w:shd w:fill="EBF3FB" w:val="clear"/>
            <w:tcMar>
              <w:top w:type="dxa" w:w="120"/>
              <w:left w:type="dxa" w:w="200"/>
              <w:bottom w:type="dxa" w:w="120"/>
              <w:right w:type="dxa" w:w="200"/>
            </w:tcMar>
          </w:tcPr>
          <w:p>
            <w:pPr>
              <w:spacing w:before="0" w:after="0"/>
            </w:pPr>
            <w:r>
              <w:rPr>
                <w:rFonts w:ascii="Calibri" w:cs="Calibri" w:eastAsia="Calibri" w:hAnsi="Calibri"/>
                <w:b/>
                <w:bCs/>
                <w:color w:val="1B3A6B"/>
                <w:sz w:val="23"/>
                <w:szCs w:val="23"/>
              </w:rPr>
              <w:t xml:space="preserve">Article 1  —  </w:t>
            </w:r>
            <w:r>
              <w:rPr>
                <w:rFonts w:ascii="Calibri" w:cs="Calibri" w:eastAsia="Calibri" w:hAnsi="Calibri"/>
                <w:b/>
                <w:bCs/>
                <w:color w:val="C55A11"/>
                <w:sz w:val="23"/>
                <w:szCs w:val="23"/>
              </w:rPr>
              <w:t xml:space="preserve">Objet du Contrat</w:t>
            </w:r>
          </w:p>
        </w:tc>
      </w:tr>
    </w:tbl>
    <w:p>
      <w:pPr>
        <w:spacing w:before="0" w:after="100"/>
      </w:pPr>
    </w:p>
    <w:p>
      <w:pPr>
        <w:spacing w:before="100" w:after="140"/>
      </w:pPr>
      <w:r>
        <w:rPr>
          <w:rFonts w:ascii="Calibri" w:cs="Calibri" w:eastAsia="Calibri" w:hAnsi="Calibri"/>
          <w:color w:val="2C2C2C"/>
          <w:sz w:val="21"/>
          <w:szCs w:val="21"/>
        </w:rPr>
        <w:t xml:space="preserve">Le présent contrat a pour objet de définir les conditions dans lesquelles le Prestataire réalisera une mission de conseil en Excellence Opérationnelle au bénéfice du Client, conformément à la proposition commerciale acceptée (Annexe B) et au Project Charter signé (Annexe A).</w:t>
      </w:r>
    </w:p>
    <w:p>
      <w:pPr>
        <w:spacing w:before="100" w:after="140"/>
      </w:pPr>
      <w:r>
        <w:rPr>
          <w:rFonts w:ascii="Calibri" w:cs="Calibri" w:eastAsia="Calibri" w:hAnsi="Calibri"/>
          <w:color w:val="2C2C2C"/>
          <w:sz w:val="21"/>
          <w:szCs w:val="21"/>
        </w:rPr>
        <w:t xml:space="preserve">La mission comprend les phases et livrables définis dans le Project Charter. Toute modification du périmètre fait l'objet d'un avenant formalisé conformément à l'Article 13 du présent contrat.</w:t>
      </w:r>
    </w:p>
    <w:p>
      <w:pPr>
        <w:spacing w:before="0" w:after="1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1B3A6B" w:sz="16"/>
              <w:bottom w:val="single" w:color="1B3A6B" w:sz="4"/>
              <w:right w:val="none" w:color="FFFFFF" w:sz="0"/>
            </w:tcBorders>
            <w:shd w:fill="EBF3FB" w:val="clear"/>
            <w:tcMar>
              <w:top w:type="dxa" w:w="120"/>
              <w:left w:type="dxa" w:w="200"/>
              <w:bottom w:type="dxa" w:w="120"/>
              <w:right w:type="dxa" w:w="200"/>
            </w:tcMar>
          </w:tcPr>
          <w:p>
            <w:pPr>
              <w:spacing w:before="0" w:after="0"/>
            </w:pPr>
            <w:r>
              <w:rPr>
                <w:rFonts w:ascii="Calibri" w:cs="Calibri" w:eastAsia="Calibri" w:hAnsi="Calibri"/>
                <w:b/>
                <w:bCs/>
                <w:color w:val="1B3A6B"/>
                <w:sz w:val="23"/>
                <w:szCs w:val="23"/>
              </w:rPr>
              <w:t xml:space="preserve">Article 2  —  </w:t>
            </w:r>
            <w:r>
              <w:rPr>
                <w:rFonts w:ascii="Calibri" w:cs="Calibri" w:eastAsia="Calibri" w:hAnsi="Calibri"/>
                <w:b/>
                <w:bCs/>
                <w:color w:val="C55A11"/>
                <w:sz w:val="23"/>
                <w:szCs w:val="23"/>
              </w:rPr>
              <w:t xml:space="preserve">Durée de la Mission</w:t>
            </w:r>
          </w:p>
        </w:tc>
      </w:tr>
    </w:tbl>
    <w:p>
      <w:pPr>
        <w:spacing w:before="0" w:after="100"/>
      </w:pPr>
    </w:p>
    <w:p>
      <w:pPr>
        <w:spacing w:before="100" w:after="140"/>
      </w:pPr>
      <w:r>
        <w:rPr>
          <w:rFonts w:ascii="Calibri" w:cs="Calibri" w:eastAsia="Calibri" w:hAnsi="Calibri"/>
          <w:color w:val="2C2C2C"/>
          <w:sz w:val="21"/>
          <w:szCs w:val="21"/>
        </w:rPr>
        <w:t xml:space="preserve">Le présent contrat prend effet à compter de sa signature par les deux parties.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CCCCC" w:sz="1"/>
              <w:left w:val="single" w:color="CCCCCC" w:sz="1"/>
              <w:bottom w:val="single" w:color="CCCCCC" w:sz="1"/>
              <w:right w:val="single" w:color="CCCCCC" w:sz="1"/>
            </w:tcBorders>
            <w:shd w:fill="EBF3FB" w:val="clear"/>
            <w:tcMar>
              <w:top w:type="dxa" w:w="80"/>
              <w:left w:type="dxa" w:w="160"/>
              <w:bottom w:type="dxa" w:w="80"/>
              <w:right w:type="dxa" w:w="160"/>
            </w:tcMar>
          </w:tcPr>
          <w:p>
            <w:pPr>
              <w:spacing w:before="0" w:after="40"/>
            </w:pPr>
            <w:r>
              <w:rPr>
                <w:rFonts w:ascii="Calibri" w:cs="Calibri" w:eastAsia="Calibri" w:hAnsi="Calibri"/>
                <w:b/>
                <w:bCs/>
                <w:color w:val="1B3A6B"/>
                <w:sz w:val="20"/>
                <w:szCs w:val="20"/>
              </w:rPr>
              <w:t xml:space="preserve">DATE DE DÉMARRAGE</w:t>
            </w:r>
          </w:p>
          <w:p>
            <w:pPr>
              <w:pBdr>
                <w:bottom w:val="single" w:color="CCCCCC" w:sz="1"/>
              </w:pBdr>
              <w:spacing w:before="0" w:after="0"/>
            </w:pPr>
          </w:p>
        </w:tc>
        <w:tc>
          <w:tcPr>
            <w:tcW w:type="dxa" w:w="4680"/>
            <w:tcBorders>
              <w:top w:val="single" w:color="CCCCCC" w:sz="1"/>
              <w:left w:val="single" w:color="CCCCCC" w:sz="1"/>
              <w:bottom w:val="single" w:color="CCCCCC" w:sz="1"/>
              <w:right w:val="single" w:color="CCCCCC" w:sz="1"/>
            </w:tcBorders>
            <w:shd w:fill="EBF3FB" w:val="clear"/>
            <w:tcMar>
              <w:top w:type="dxa" w:w="80"/>
              <w:left w:type="dxa" w:w="160"/>
              <w:bottom w:type="dxa" w:w="80"/>
              <w:right w:type="dxa" w:w="160"/>
            </w:tcMar>
          </w:tcPr>
          <w:p>
            <w:pPr>
              <w:spacing w:before="0" w:after="40"/>
            </w:pPr>
            <w:r>
              <w:rPr>
                <w:rFonts w:ascii="Calibri" w:cs="Calibri" w:eastAsia="Calibri" w:hAnsi="Calibri"/>
                <w:b/>
                <w:bCs/>
                <w:color w:val="1B3A6B"/>
                <w:sz w:val="20"/>
                <w:szCs w:val="20"/>
              </w:rPr>
              <w:t xml:space="preserve">DATE DE FIN PRÉVISIONNELLE</w:t>
            </w:r>
          </w:p>
          <w:p>
            <w:pPr>
              <w:pBdr>
                <w:bottom w:val="single" w:color="CCCCCC" w:sz="1"/>
              </w:pBdr>
              <w:spacing w:before="0" w:after="0"/>
            </w:pPr>
          </w:p>
        </w:tc>
      </w:tr>
    </w:tbl>
    <w:p>
      <w:pPr>
        <w:spacing w:before="0" w:after="80"/>
      </w:pPr>
    </w:p>
    <w:p>
      <w:pPr>
        <w:spacing w:before="100" w:after="140"/>
      </w:pPr>
      <w:r>
        <w:rPr>
          <w:rFonts w:ascii="Calibri" w:cs="Calibri" w:eastAsia="Calibri" w:hAnsi="Calibri"/>
          <w:color w:val="2C2C2C"/>
          <w:sz w:val="21"/>
          <w:szCs w:val="21"/>
        </w:rPr>
        <w:t xml:space="preserve">La durée peut être prorogée d'un commun accord par avenant écrit, notamment en cas de modification du périmètre, de découverte d'un problème différent de celui diagnostiqué initialement, ou de force majeure.</w:t>
      </w:r>
    </w:p>
    <w:p>
      <w:pPr>
        <w:spacing w:before="0" w:after="1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1B3A6B" w:sz="16"/>
              <w:bottom w:val="single" w:color="1B3A6B" w:sz="4"/>
              <w:right w:val="none" w:color="FFFFFF" w:sz="0"/>
            </w:tcBorders>
            <w:shd w:fill="EBF3FB" w:val="clear"/>
            <w:tcMar>
              <w:top w:type="dxa" w:w="120"/>
              <w:left w:type="dxa" w:w="200"/>
              <w:bottom w:type="dxa" w:w="120"/>
              <w:right w:type="dxa" w:w="200"/>
            </w:tcMar>
          </w:tcPr>
          <w:p>
            <w:pPr>
              <w:spacing w:before="0" w:after="0"/>
            </w:pPr>
            <w:r>
              <w:rPr>
                <w:rFonts w:ascii="Calibri" w:cs="Calibri" w:eastAsia="Calibri" w:hAnsi="Calibri"/>
                <w:b/>
                <w:bCs/>
                <w:color w:val="1B3A6B"/>
                <w:sz w:val="23"/>
                <w:szCs w:val="23"/>
              </w:rPr>
              <w:t xml:space="preserve">Article 3  —  </w:t>
            </w:r>
            <w:r>
              <w:rPr>
                <w:rFonts w:ascii="Calibri" w:cs="Calibri" w:eastAsia="Calibri" w:hAnsi="Calibri"/>
                <w:b/>
                <w:bCs/>
                <w:color w:val="C55A11"/>
                <w:sz w:val="23"/>
                <w:szCs w:val="23"/>
              </w:rPr>
              <w:t xml:space="preserve">Obligations du Prestataire</w:t>
            </w:r>
          </w:p>
        </w:tc>
      </w:tr>
    </w:tbl>
    <w:p>
      <w:pPr>
        <w:spacing w:before="0" w:after="100"/>
      </w:pPr>
    </w:p>
    <w:p>
      <w:pPr>
        <w:spacing w:before="100" w:after="140"/>
      </w:pPr>
      <w:r>
        <w:rPr>
          <w:rFonts w:ascii="Calibri" w:cs="Calibri" w:eastAsia="Calibri" w:hAnsi="Calibri"/>
          <w:color w:val="2C2C2C"/>
          <w:sz w:val="21"/>
          <w:szCs w:val="21"/>
        </w:rPr>
        <w:t xml:space="preserve">Le Prestataire s'engage à :</w:t>
      </w:r>
    </w:p>
    <w:p>
      <w:pPr>
        <w:pStyle w:val="ListParagraph"/>
        <w:numPr>
          <w:ilvl w:val="0"/>
          <w:numId w:val="3"/>
        </w:numPr>
        <w:spacing w:before="30" w:after="30"/>
      </w:pPr>
      <w:r>
        <w:rPr>
          <w:rFonts w:ascii="Calibri" w:cs="Calibri" w:eastAsia="Calibri" w:hAnsi="Calibri"/>
          <w:color w:val="2C2C2C"/>
          <w:sz w:val="21"/>
          <w:szCs w:val="21"/>
        </w:rPr>
        <w:t xml:space="preserve">Réaliser la mission avec diligence, professionnalisme et en conformité avec les meilleures pratiques des méthodologies Lean, Six Sigma, SMED et Kaizen ;</w:t>
      </w:r>
    </w:p>
    <w:p>
      <w:pPr>
        <w:pStyle w:val="ListParagraph"/>
        <w:numPr>
          <w:ilvl w:val="0"/>
          <w:numId w:val="3"/>
        </w:numPr>
        <w:spacing w:before="30" w:after="30"/>
      </w:pPr>
      <w:r>
        <w:rPr>
          <w:rFonts w:ascii="Calibri" w:cs="Calibri" w:eastAsia="Calibri" w:hAnsi="Calibri"/>
          <w:color w:val="2C2C2C"/>
          <w:sz w:val="21"/>
          <w:szCs w:val="21"/>
        </w:rPr>
        <w:t xml:space="preserve">Maintenir une stricte confidentialité sur l'ensemble des informations, données et documents auxquels il aura accès dans le cadre de la mission (Article 10) ;</w:t>
      </w:r>
    </w:p>
    <w:p>
      <w:pPr>
        <w:pStyle w:val="ListParagraph"/>
        <w:numPr>
          <w:ilvl w:val="0"/>
          <w:numId w:val="3"/>
        </w:numPr>
        <w:spacing w:before="30" w:after="30"/>
      </w:pPr>
      <w:r>
        <w:rPr>
          <w:rFonts w:ascii="Calibri" w:cs="Calibri" w:eastAsia="Calibri" w:hAnsi="Calibri"/>
          <w:color w:val="2C2C2C"/>
          <w:sz w:val="21"/>
          <w:szCs w:val="21"/>
        </w:rPr>
        <w:t xml:space="preserve">Informer le Client sans délai de toute difficulté pouvant affecter le bon déroulement de la mission ou le niveau de qualité des livrables ;</w:t>
      </w:r>
    </w:p>
    <w:p>
      <w:pPr>
        <w:pStyle w:val="ListParagraph"/>
        <w:numPr>
          <w:ilvl w:val="0"/>
          <w:numId w:val="3"/>
        </w:numPr>
        <w:spacing w:before="30" w:after="30"/>
      </w:pPr>
      <w:r>
        <w:rPr>
          <w:rFonts w:ascii="Calibri" w:cs="Calibri" w:eastAsia="Calibri" w:hAnsi="Calibri"/>
          <w:color w:val="2C2C2C"/>
          <w:sz w:val="21"/>
          <w:szCs w:val="21"/>
        </w:rPr>
        <w:t xml:space="preserve">Travailler en collaboration étroite avec le Champion désigné par le Client et respecter les règles de sécurité et de fonctionnement en vigueur dans l'entreprise ;</w:t>
      </w:r>
    </w:p>
    <w:p>
      <w:pPr>
        <w:pStyle w:val="ListParagraph"/>
        <w:numPr>
          <w:ilvl w:val="0"/>
          <w:numId w:val="3"/>
        </w:numPr>
        <w:spacing w:before="30" w:after="30"/>
      </w:pPr>
      <w:r>
        <w:rPr>
          <w:rFonts w:ascii="Calibri" w:cs="Calibri" w:eastAsia="Calibri" w:hAnsi="Calibri"/>
          <w:color w:val="2C2C2C"/>
          <w:sz w:val="21"/>
          <w:szCs w:val="21"/>
        </w:rPr>
        <w:t xml:space="preserve">Produire les livrables définis dans le Project Charter (Annexe A) dans les délais convenus ;</w:t>
      </w:r>
    </w:p>
    <w:p>
      <w:pPr>
        <w:pStyle w:val="ListParagraph"/>
        <w:numPr>
          <w:ilvl w:val="0"/>
          <w:numId w:val="3"/>
        </w:numPr>
        <w:spacing w:before="30" w:after="80"/>
      </w:pPr>
      <w:r>
        <w:rPr>
          <w:rFonts w:ascii="Calibri" w:cs="Calibri" w:eastAsia="Calibri" w:hAnsi="Calibri"/>
          <w:color w:val="2C2C2C"/>
          <w:sz w:val="21"/>
          <w:szCs w:val="21"/>
        </w:rPr>
        <w:t xml:space="preserve">Ne pas sous-traiter tout ou partie de la mission sans l'accord préalable écrit du Client.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4"/>
              <w:left w:val="single" w:color="2E75B6" w:sz="16"/>
              <w:bottom w:val="single" w:color="2E75B6" w:sz="4"/>
              <w:right w:val="none" w:color="FFFFFF" w:sz="0"/>
            </w:tcBorders>
            <w:shd w:fill="EBF3FB" w:val="clear"/>
            <w:tcMar>
              <w:top w:type="dxa" w:w="140"/>
              <w:left w:type="dxa" w:w="220"/>
              <w:bottom w:type="dxa" w:w="140"/>
              <w:right w:type="dxa" w:w="200"/>
            </w:tcMar>
          </w:tcPr>
          <w:p>
            <w:pPr>
              <w:spacing w:before="0" w:after="80"/>
            </w:pPr>
            <w:r>
              <w:rPr>
                <w:rFonts w:ascii="Calibri" w:cs="Calibri" w:eastAsia="Calibri" w:hAnsi="Calibri"/>
                <w:b/>
                <w:bCs/>
                <w:color w:val="2E75B6"/>
                <w:sz w:val="21"/>
                <w:szCs w:val="21"/>
              </w:rPr>
              <w:t xml:space="preserve">Obligation de moyens — Non d'obligation de résultats</w:t>
            </w:r>
          </w:p>
          <w:p>
            <w:pPr>
              <w:pStyle w:val="ListParagraph"/>
              <w:numPr>
                <w:ilvl w:val="0"/>
                <w:numId w:val="2"/>
              </w:numPr>
              <w:spacing w:before="30" w:after="30"/>
            </w:pPr>
            <w:r>
              <w:rPr>
                <w:rFonts w:ascii="Calibri" w:cs="Calibri" w:eastAsia="Calibri" w:hAnsi="Calibri"/>
                <w:color w:val="2C2C2C"/>
                <w:sz w:val="20"/>
                <w:szCs w:val="20"/>
              </w:rPr>
              <w:t xml:space="preserve">Le Prestataire est tenu à une obligation de moyens et non à une obligation de résultats. Les KPI cibles définis dans le Project Charter constituent des objectifs visés et non des garanties contractuelles.</w:t>
            </w:r>
          </w:p>
          <w:p>
            <w:pPr>
              <w:pStyle w:val="ListParagraph"/>
              <w:numPr>
                <w:ilvl w:val="0"/>
                <w:numId w:val="2"/>
              </w:numPr>
              <w:spacing w:before="30" w:after="30"/>
            </w:pPr>
            <w:r>
              <w:rPr>
                <w:rFonts w:ascii="Calibri" w:cs="Calibri" w:eastAsia="Calibri" w:hAnsi="Calibri"/>
                <w:color w:val="2C2C2C"/>
                <w:sz w:val="20"/>
                <w:szCs w:val="20"/>
              </w:rPr>
              <w:t xml:space="preserve">Toutefois, si les résultats s'avèrent significativement inférieurs aux objectifs pour des raisons imputables au Prestataire, les Parties conviennent de se réunir dans un délai de 15 jours pour définir un plan de correction.</w:t>
            </w:r>
          </w:p>
        </w:tc>
      </w:tr>
    </w:tbl>
    <w:p>
      <w:pPr>
        <w:spacing w:before="0" w:after="1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1B3A6B" w:sz="16"/>
              <w:bottom w:val="single" w:color="1B3A6B" w:sz="4"/>
              <w:right w:val="none" w:color="FFFFFF" w:sz="0"/>
            </w:tcBorders>
            <w:shd w:fill="EBF3FB" w:val="clear"/>
            <w:tcMar>
              <w:top w:type="dxa" w:w="120"/>
              <w:left w:type="dxa" w:w="200"/>
              <w:bottom w:type="dxa" w:w="120"/>
              <w:right w:type="dxa" w:w="200"/>
            </w:tcMar>
          </w:tcPr>
          <w:p>
            <w:pPr>
              <w:spacing w:before="0" w:after="0"/>
            </w:pPr>
            <w:r>
              <w:rPr>
                <w:rFonts w:ascii="Calibri" w:cs="Calibri" w:eastAsia="Calibri" w:hAnsi="Calibri"/>
                <w:b/>
                <w:bCs/>
                <w:color w:val="1B3A6B"/>
                <w:sz w:val="23"/>
                <w:szCs w:val="23"/>
              </w:rPr>
              <w:t xml:space="preserve">Article 4  —  </w:t>
            </w:r>
            <w:r>
              <w:rPr>
                <w:rFonts w:ascii="Calibri" w:cs="Calibri" w:eastAsia="Calibri" w:hAnsi="Calibri"/>
                <w:b/>
                <w:bCs/>
                <w:color w:val="C55A11"/>
                <w:sz w:val="23"/>
                <w:szCs w:val="23"/>
              </w:rPr>
              <w:t xml:space="preserve">Obligations du Client</w:t>
            </w:r>
          </w:p>
        </w:tc>
      </w:tr>
    </w:tbl>
    <w:p>
      <w:pPr>
        <w:spacing w:before="0" w:after="100"/>
      </w:pPr>
    </w:p>
    <w:p>
      <w:pPr>
        <w:spacing w:before="100" w:after="140"/>
      </w:pPr>
      <w:r>
        <w:rPr>
          <w:rFonts w:ascii="Calibri" w:cs="Calibri" w:eastAsia="Calibri" w:hAnsi="Calibri"/>
          <w:color w:val="2C2C2C"/>
          <w:sz w:val="21"/>
          <w:szCs w:val="21"/>
        </w:rPr>
        <w:t xml:space="preserve">Le Client s'engage à :</w:t>
      </w:r>
    </w:p>
    <w:p>
      <w:pPr>
        <w:pStyle w:val="ListParagraph"/>
        <w:numPr>
          <w:ilvl w:val="0"/>
          <w:numId w:val="3"/>
        </w:numPr>
        <w:spacing w:before="30" w:after="30"/>
      </w:pPr>
      <w:r>
        <w:rPr>
          <w:rFonts w:ascii="Calibri" w:cs="Calibri" w:eastAsia="Calibri" w:hAnsi="Calibri"/>
          <w:color w:val="2C2C2C"/>
          <w:sz w:val="21"/>
          <w:szCs w:val="21"/>
        </w:rPr>
        <w:t xml:space="preserve">Désigner un Champion disponible à hauteur de [________] jours par semaine, disposant de l'autorité nécessaire pour mobiliser les ressources internes et prendre des décisions opérationnelles ;</w:t>
      </w:r>
    </w:p>
    <w:p>
      <w:pPr>
        <w:pStyle w:val="ListParagraph"/>
        <w:numPr>
          <w:ilvl w:val="0"/>
          <w:numId w:val="3"/>
        </w:numPr>
        <w:spacing w:before="30" w:after="30"/>
      </w:pPr>
      <w:r>
        <w:rPr>
          <w:rFonts w:ascii="Calibri" w:cs="Calibri" w:eastAsia="Calibri" w:hAnsi="Calibri"/>
          <w:color w:val="2C2C2C"/>
          <w:sz w:val="21"/>
          <w:szCs w:val="21"/>
        </w:rPr>
        <w:t xml:space="preserve">Fournir au Prestataire l'accès aux locaux, aux systèmes d'information (ERP, MES, GMAO), aux données historiques et aux opérateurs nécessaires à la réalisation de la mission ;</w:t>
      </w:r>
    </w:p>
    <w:p>
      <w:pPr>
        <w:pStyle w:val="ListParagraph"/>
        <w:numPr>
          <w:ilvl w:val="0"/>
          <w:numId w:val="3"/>
        </w:numPr>
        <w:spacing w:before="30" w:after="30"/>
      </w:pPr>
      <w:r>
        <w:rPr>
          <w:rFonts w:ascii="Calibri" w:cs="Calibri" w:eastAsia="Calibri" w:hAnsi="Calibri"/>
          <w:color w:val="2C2C2C"/>
          <w:sz w:val="21"/>
          <w:szCs w:val="21"/>
        </w:rPr>
        <w:t xml:space="preserve">Communiquer de manière transparente et sans délai toute information susceptible d'affecter le périmètre, les objectifs ou les conditions de réalisation de la mission ;</w:t>
      </w:r>
    </w:p>
    <w:p>
      <w:pPr>
        <w:pStyle w:val="ListParagraph"/>
        <w:numPr>
          <w:ilvl w:val="0"/>
          <w:numId w:val="3"/>
        </w:numPr>
        <w:spacing w:before="30" w:after="30"/>
      </w:pPr>
      <w:r>
        <w:rPr>
          <w:rFonts w:ascii="Calibri" w:cs="Calibri" w:eastAsia="Calibri" w:hAnsi="Calibri"/>
          <w:color w:val="2C2C2C"/>
          <w:sz w:val="21"/>
          <w:szCs w:val="21"/>
        </w:rPr>
        <w:t xml:space="preserve">Libérer les opérateurs et managers nécessaires pour participer aux ateliers Kaizen, aux sessions de formation et aux réunions de pilotage dans les délais convenus ;</w:t>
      </w:r>
    </w:p>
    <w:p>
      <w:pPr>
        <w:pStyle w:val="ListParagraph"/>
        <w:numPr>
          <w:ilvl w:val="0"/>
          <w:numId w:val="3"/>
        </w:numPr>
        <w:spacing w:before="30" w:after="30"/>
      </w:pPr>
      <w:r>
        <w:rPr>
          <w:rFonts w:ascii="Calibri" w:cs="Calibri" w:eastAsia="Calibri" w:hAnsi="Calibri"/>
          <w:color w:val="2C2C2C"/>
          <w:sz w:val="21"/>
          <w:szCs w:val="21"/>
        </w:rPr>
        <w:t xml:space="preserve">S'assurer de l'engagement actif du Sponsor (DG ou DAF) et de sa disponibilité pour les réunions de COPIL mensuelles ;</w:t>
      </w:r>
    </w:p>
    <w:p>
      <w:pPr>
        <w:pStyle w:val="ListParagraph"/>
        <w:numPr>
          <w:ilvl w:val="0"/>
          <w:numId w:val="3"/>
        </w:numPr>
        <w:spacing w:before="30" w:after="80"/>
      </w:pPr>
      <w:r>
        <w:rPr>
          <w:rFonts w:ascii="Calibri" w:cs="Calibri" w:eastAsia="Calibri" w:hAnsi="Calibri"/>
          <w:color w:val="2C2C2C"/>
          <w:sz w:val="21"/>
          <w:szCs w:val="21"/>
        </w:rPr>
        <w:t xml:space="preserve">Régler les honoraires aux échéances convenues à l'Article 5 du présent contrat.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55A11" w:sz="4"/>
              <w:left w:val="single" w:color="C55A11" w:sz="16"/>
              <w:bottom w:val="single" w:color="C55A11" w:sz="4"/>
              <w:right w:val="none" w:color="FFFFFF" w:sz="0"/>
            </w:tcBorders>
            <w:shd w:fill="FCE4D6" w:val="clear"/>
            <w:tcMar>
              <w:top w:type="dxa" w:w="140"/>
              <w:left w:type="dxa" w:w="220"/>
              <w:bottom w:type="dxa" w:w="140"/>
              <w:right w:type="dxa" w:w="200"/>
            </w:tcMar>
          </w:tcPr>
          <w:p>
            <w:pPr>
              <w:spacing w:before="0" w:after="80"/>
            </w:pPr>
            <w:r>
              <w:rPr>
                <w:rFonts w:ascii="Calibri" w:cs="Calibri" w:eastAsia="Calibri" w:hAnsi="Calibri"/>
                <w:b/>
                <w:bCs/>
                <w:color w:val="C55A11"/>
                <w:sz w:val="21"/>
                <w:szCs w:val="21"/>
              </w:rPr>
              <w:t xml:space="preserve">⚠  Clause de disponibilité des ressources</w:t>
            </w:r>
          </w:p>
          <w:p>
            <w:pPr>
              <w:pStyle w:val="ListParagraph"/>
              <w:numPr>
                <w:ilvl w:val="0"/>
                <w:numId w:val="2"/>
              </w:numPr>
              <w:spacing w:before="30" w:after="30"/>
            </w:pPr>
            <w:r>
              <w:rPr>
                <w:rFonts w:ascii="Calibri" w:cs="Calibri" w:eastAsia="Calibri" w:hAnsi="Calibri"/>
                <w:color w:val="2C2C2C"/>
                <w:sz w:val="20"/>
                <w:szCs w:val="20"/>
              </w:rPr>
              <w:t xml:space="preserve">Si le Client ne respecte pas ses engagements de disponibilité des ressources (Champion, opérateurs, données) de façon répétée (plus de 3 occurrences documentées), le Prestataire est en droit de suspendre la mission sans pénalité.</w:t>
            </w:r>
          </w:p>
          <w:p>
            <w:pPr>
              <w:pStyle w:val="ListParagraph"/>
              <w:numPr>
                <w:ilvl w:val="0"/>
                <w:numId w:val="2"/>
              </w:numPr>
              <w:spacing w:before="30" w:after="30"/>
            </w:pPr>
            <w:r>
              <w:rPr>
                <w:rFonts w:ascii="Calibri" w:cs="Calibri" w:eastAsia="Calibri" w:hAnsi="Calibri"/>
                <w:color w:val="2C2C2C"/>
                <w:sz w:val="20"/>
                <w:szCs w:val="20"/>
              </w:rPr>
              <w:t xml:space="preserve">Le temps de suspension est ajouté à la durée contractuelle sans surcoût pour le Prestataire.</w:t>
            </w:r>
          </w:p>
        </w:tc>
      </w:tr>
    </w:tbl>
    <w:p>
      <w:pPr>
        <w:spacing w:before="0" w:after="1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1B3A6B" w:sz="16"/>
              <w:bottom w:val="single" w:color="1B3A6B" w:sz="4"/>
              <w:right w:val="none" w:color="FFFFFF" w:sz="0"/>
            </w:tcBorders>
            <w:shd w:fill="EBF3FB" w:val="clear"/>
            <w:tcMar>
              <w:top w:type="dxa" w:w="120"/>
              <w:left w:type="dxa" w:w="200"/>
              <w:bottom w:type="dxa" w:w="120"/>
              <w:right w:type="dxa" w:w="200"/>
            </w:tcMar>
          </w:tcPr>
          <w:p>
            <w:pPr>
              <w:spacing w:before="0" w:after="0"/>
            </w:pPr>
            <w:r>
              <w:rPr>
                <w:rFonts w:ascii="Calibri" w:cs="Calibri" w:eastAsia="Calibri" w:hAnsi="Calibri"/>
                <w:b/>
                <w:bCs/>
                <w:color w:val="1B3A6B"/>
                <w:sz w:val="23"/>
                <w:szCs w:val="23"/>
              </w:rPr>
              <w:t xml:space="preserve">Article 5  —  </w:t>
            </w:r>
            <w:r>
              <w:rPr>
                <w:rFonts w:ascii="Calibri" w:cs="Calibri" w:eastAsia="Calibri" w:hAnsi="Calibri"/>
                <w:b/>
                <w:bCs/>
                <w:color w:val="C55A11"/>
                <w:sz w:val="23"/>
                <w:szCs w:val="23"/>
              </w:rPr>
              <w:t xml:space="preserve">Honoraires et Conditions de Paiement</w:t>
            </w:r>
          </w:p>
        </w:tc>
      </w:tr>
    </w:tbl>
    <w:p>
      <w:pPr>
        <w:spacing w:before="0" w:after="100"/>
      </w:pPr>
    </w:p>
    <w:p>
      <w:pPr>
        <w:spacing w:before="100" w:after="140"/>
      </w:pPr>
      <w:r>
        <w:rPr>
          <w:rFonts w:ascii="Calibri" w:cs="Calibri" w:eastAsia="Calibri" w:hAnsi="Calibri"/>
          <w:color w:val="2C2C2C"/>
          <w:sz w:val="21"/>
          <w:szCs w:val="21"/>
        </w:rPr>
        <w:t xml:space="preserve">En contrepartie de la réalisation de la mission, le Client s'engage à régler au Prestataire les honoraires suivants :</w:t>
      </w:r>
    </w:p>
    <w:p>
      <w:pPr>
        <w:spacing w:before="0"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2400"/>
        <w:gridCol w:w="2400"/>
        <w:gridCol w:w="1560"/>
      </w:tblGrid>
      <w:tr>
        <w:trPr>
          <w:tblHeader/>
        </w:trPr>
        <w:tc>
          <w:tcPr>
            <w:tcW w:type="dxa" w:w="3000"/>
            <w:tcBorders>
              <w:top w:val="single" w:color="FFFFFF" w:sz="1"/>
              <w:left w:val="single" w:color="FFFFFF" w:sz="1"/>
              <w:bottom w:val="single" w:color="FFFFFF" w:sz="1"/>
              <w:right w:val="single" w:color="FFFFFF" w:sz="1"/>
            </w:tcBorders>
            <w:shd w:fill="1B3A6B" w:val="clear"/>
            <w:tcMar>
              <w:top w:type="dxa" w:w="80"/>
              <w:left w:type="dxa" w:w="120"/>
              <w:bottom w:type="dxa" w:w="80"/>
              <w:right w:type="dxa" w:w="120"/>
            </w:tcMar>
          </w:tcPr>
          <w:p>
            <w:pPr>
              <w:spacing w:before="0" w:after="0"/>
              <w:jc w:val="center"/>
            </w:pPr>
            <w:r>
              <w:rPr>
                <w:rFonts w:ascii="Calibri" w:cs="Calibri" w:eastAsia="Calibri" w:hAnsi="Calibri"/>
                <w:b/>
                <w:bCs/>
                <w:color w:val="FFFFFF"/>
                <w:sz w:val="19"/>
                <w:szCs w:val="19"/>
              </w:rPr>
              <w:t xml:space="preserve">PHASE / LIVRABLE</w:t>
            </w:r>
          </w:p>
        </w:tc>
        <w:tc>
          <w:tcPr>
            <w:tcW w:type="dxa" w:w="2400"/>
            <w:tcBorders>
              <w:top w:val="single" w:color="FFFFFF" w:sz="1"/>
              <w:left w:val="single" w:color="FFFFFF" w:sz="1"/>
              <w:bottom w:val="single" w:color="FFFFFF" w:sz="1"/>
              <w:right w:val="single" w:color="FFFFFF" w:sz="1"/>
            </w:tcBorders>
            <w:shd w:fill="1B3A6B" w:val="clear"/>
            <w:tcMar>
              <w:top w:type="dxa" w:w="80"/>
              <w:left w:type="dxa" w:w="120"/>
              <w:bottom w:type="dxa" w:w="80"/>
              <w:right w:type="dxa" w:w="120"/>
            </w:tcMar>
          </w:tcPr>
          <w:p>
            <w:pPr>
              <w:spacing w:before="0" w:after="0"/>
              <w:jc w:val="center"/>
            </w:pPr>
            <w:r>
              <w:rPr>
                <w:rFonts w:ascii="Calibri" w:cs="Calibri" w:eastAsia="Calibri" w:hAnsi="Calibri"/>
                <w:b/>
                <w:bCs/>
                <w:color w:val="FFFFFF"/>
                <w:sz w:val="19"/>
                <w:szCs w:val="19"/>
              </w:rPr>
              <w:t xml:space="preserve">ÉCHÉANCE</w:t>
            </w:r>
          </w:p>
        </w:tc>
        <w:tc>
          <w:tcPr>
            <w:tcW w:type="dxa" w:w="2400"/>
            <w:tcBorders>
              <w:top w:val="single" w:color="FFFFFF" w:sz="1"/>
              <w:left w:val="single" w:color="FFFFFF" w:sz="1"/>
              <w:bottom w:val="single" w:color="FFFFFF" w:sz="1"/>
              <w:right w:val="single" w:color="FFFFFF" w:sz="1"/>
            </w:tcBorders>
            <w:shd w:fill="1B3A6B" w:val="clear"/>
            <w:tcMar>
              <w:top w:type="dxa" w:w="80"/>
              <w:left w:type="dxa" w:w="120"/>
              <w:bottom w:type="dxa" w:w="80"/>
              <w:right w:type="dxa" w:w="120"/>
            </w:tcMar>
          </w:tcPr>
          <w:p>
            <w:pPr>
              <w:spacing w:before="0" w:after="0"/>
              <w:jc w:val="center"/>
            </w:pPr>
            <w:r>
              <w:rPr>
                <w:rFonts w:ascii="Calibri" w:cs="Calibri" w:eastAsia="Calibri" w:hAnsi="Calibri"/>
                <w:b/>
                <w:bCs/>
                <w:color w:val="FFFFFF"/>
                <w:sz w:val="19"/>
                <w:szCs w:val="19"/>
              </w:rPr>
              <w:t xml:space="preserve">MONTANT HT</w:t>
            </w:r>
          </w:p>
        </w:tc>
        <w:tc>
          <w:tcPr>
            <w:tcW w:type="dxa" w:w="1560"/>
            <w:tcBorders>
              <w:top w:val="single" w:color="FFFFFF" w:sz="1"/>
              <w:left w:val="single" w:color="FFFFFF" w:sz="1"/>
              <w:bottom w:val="single" w:color="FFFFFF" w:sz="1"/>
              <w:right w:val="single" w:color="FFFFFF" w:sz="1"/>
            </w:tcBorders>
            <w:shd w:fill="1B3A6B" w:val="clear"/>
            <w:tcMar>
              <w:top w:type="dxa" w:w="80"/>
              <w:left w:type="dxa" w:w="120"/>
              <w:bottom w:type="dxa" w:w="80"/>
              <w:right w:type="dxa" w:w="120"/>
            </w:tcMar>
          </w:tcPr>
          <w:p>
            <w:pPr>
              <w:spacing w:before="0" w:after="0"/>
              <w:jc w:val="center"/>
            </w:pPr>
            <w:r>
              <w:rPr>
                <w:rFonts w:ascii="Calibri" w:cs="Calibri" w:eastAsia="Calibri" w:hAnsi="Calibri"/>
                <w:b/>
                <w:bCs/>
                <w:color w:val="FFFFFF"/>
                <w:sz w:val="19"/>
                <w:szCs w:val="19"/>
              </w:rPr>
              <w:t xml:space="preserve">STATUT</w:t>
            </w:r>
          </w:p>
        </w:tc>
      </w:tr>
      <w:tr>
        <w:tc>
          <w:tcPr>
            <w:tcW w:type="dxa" w:w="3000"/>
            <w:tcBorders>
              <w:top w:val="single" w:color="CCCCCC" w:sz="1"/>
              <w:left w:val="single" w:color="CCCCCC" w:sz="1"/>
              <w:bottom w:val="single" w:color="CCCCCC" w:sz="1"/>
              <w:right w:val="single" w:color="CCCCCC" w:sz="1"/>
            </w:tcBorders>
            <w:shd w:fill="EBF3FB" w:val="clear"/>
            <w:tcMar>
              <w:top w:type="dxa" w:w="60"/>
              <w:left w:type="dxa" w:w="120"/>
              <w:bottom w:type="dxa" w:w="60"/>
              <w:right w:type="dxa" w:w="120"/>
            </w:tcMar>
          </w:tcPr>
          <w:p>
            <w:pPr>
              <w:spacing w:before="0" w:after="0"/>
            </w:pPr>
            <w:r>
              <w:rPr>
                <w:rFonts w:ascii="Calibri" w:cs="Calibri" w:eastAsia="Calibri" w:hAnsi="Calibri"/>
                <w:b w:val="false"/>
                <w:bCs w:val="false"/>
                <w:color w:val="2C2C2C"/>
                <w:sz w:val="19"/>
                <w:szCs w:val="19"/>
              </w:rPr>
              <w:t xml:space="preserve">Acompte à la signature</w:t>
            </w:r>
          </w:p>
        </w:tc>
        <w:tc>
          <w:tcPr>
            <w:tcW w:type="dxa" w:w="2400"/>
            <w:tcBorders>
              <w:top w:val="single" w:color="CCCCCC" w:sz="1"/>
              <w:left w:val="single" w:color="CCCCCC" w:sz="1"/>
              <w:bottom w:val="single" w:color="CCCCCC" w:sz="1"/>
              <w:right w:val="single" w:color="CCCCCC" w:sz="1"/>
            </w:tcBorders>
            <w:shd w:fill="EBF3FB" w:val="clear"/>
            <w:tcMar>
              <w:top w:type="dxa" w:w="60"/>
              <w:left w:type="dxa" w:w="120"/>
              <w:bottom w:type="dxa" w:w="60"/>
              <w:right w:type="dxa" w:w="120"/>
            </w:tcMar>
          </w:tcPr>
          <w:p>
            <w:pPr>
              <w:spacing w:before="0" w:after="0"/>
            </w:pPr>
            <w:r>
              <w:rPr>
                <w:rFonts w:ascii="Calibri" w:cs="Calibri" w:eastAsia="Calibri" w:hAnsi="Calibri"/>
                <w:b w:val="false"/>
                <w:bCs w:val="false"/>
                <w:color w:val="2C2C2C"/>
                <w:sz w:val="19"/>
                <w:szCs w:val="19"/>
              </w:rPr>
              <w:t xml:space="preserve">À la signature du contrat</w:t>
            </w:r>
          </w:p>
        </w:tc>
        <w:tc>
          <w:tcPr>
            <w:tcW w:type="dxa" w:w="2400"/>
            <w:tcBorders>
              <w:top w:val="single" w:color="CCCCCC" w:sz="1"/>
              <w:left w:val="single" w:color="CCCCCC" w:sz="1"/>
              <w:bottom w:val="single" w:color="CCCCCC" w:sz="1"/>
              <w:right w:val="single" w:color="CCCCCC" w:sz="1"/>
            </w:tcBorders>
            <w:shd w:fill="EBF3FB" w:val="clear"/>
            <w:tcMar>
              <w:top w:type="dxa" w:w="60"/>
              <w:left w:type="dxa" w:w="120"/>
              <w:bottom w:type="dxa" w:w="60"/>
              <w:right w:type="dxa" w:w="120"/>
            </w:tcMar>
          </w:tcPr>
          <w:p>
            <w:pPr>
              <w:spacing w:before="0" w:after="0"/>
            </w:pPr>
            <w:r>
              <w:rPr>
                <w:rFonts w:ascii="Calibri" w:cs="Calibri" w:eastAsia="Calibri" w:hAnsi="Calibri"/>
                <w:b w:val="false"/>
                <w:bCs w:val="false"/>
                <w:color w:val="2C2C2C"/>
                <w:sz w:val="19"/>
                <w:szCs w:val="19"/>
              </w:rPr>
              <w:t xml:space="preserve">_____ € HT</w:t>
            </w:r>
          </w:p>
        </w:tc>
        <w:tc>
          <w:tcPr>
            <w:tcW w:type="dxa" w:w="1560"/>
            <w:tcBorders>
              <w:top w:val="single" w:color="CCCCCC" w:sz="1"/>
              <w:left w:val="single" w:color="CCCCCC" w:sz="1"/>
              <w:bottom w:val="single" w:color="CCCCCC" w:sz="1"/>
              <w:right w:val="single" w:color="CCCCCC" w:sz="1"/>
            </w:tcBorders>
            <w:shd w:fill="EBF3FB" w:val="clear"/>
            <w:tcMar>
              <w:top w:type="dxa" w:w="60"/>
              <w:left w:type="dxa" w:w="120"/>
              <w:bottom w:type="dxa" w:w="60"/>
              <w:right w:type="dxa" w:w="120"/>
            </w:tcMar>
          </w:tcPr>
          <w:p>
            <w:pPr>
              <w:spacing w:before="0" w:after="0"/>
            </w:pPr>
            <w:r>
              <w:rPr>
                <w:rFonts w:ascii="Calibri" w:cs="Calibri" w:eastAsia="Calibri" w:hAnsi="Calibri"/>
                <w:b w:val="false"/>
                <w:bCs w:val="false"/>
                <w:color w:val="2C2C2C"/>
                <w:sz w:val="19"/>
                <w:szCs w:val="19"/>
              </w:rPr>
              <w:t xml:space="preserve">☐ Payé</w:t>
            </w:r>
          </w:p>
        </w:tc>
      </w:tr>
      <w:tr>
        <w:tc>
          <w:tcPr>
            <w:tcW w:type="dxa" w:w="3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before="0" w:after="0"/>
            </w:pPr>
            <w:r>
              <w:rPr>
                <w:rFonts w:ascii="Calibri" w:cs="Calibri" w:eastAsia="Calibri" w:hAnsi="Calibri"/>
                <w:b w:val="false"/>
                <w:bCs w:val="false"/>
                <w:color w:val="2C2C2C"/>
                <w:sz w:val="19"/>
                <w:szCs w:val="19"/>
              </w:rPr>
              <w:t xml:space="preserve">Phase 1 — Diagnostic</w:t>
            </w:r>
          </w:p>
        </w:tc>
        <w:tc>
          <w:tcPr>
            <w:tcW w:type="dxa" w:w="2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before="0" w:after="0"/>
            </w:pPr>
            <w:r>
              <w:rPr>
                <w:rFonts w:ascii="Calibri" w:cs="Calibri" w:eastAsia="Calibri" w:hAnsi="Calibri"/>
                <w:b w:val="false"/>
                <w:bCs w:val="false"/>
                <w:color w:val="2C2C2C"/>
                <w:sz w:val="19"/>
                <w:szCs w:val="19"/>
              </w:rPr>
              <w:t xml:space="preserve">À remise du rapport VSM</w:t>
            </w:r>
          </w:p>
        </w:tc>
        <w:tc>
          <w:tcPr>
            <w:tcW w:type="dxa" w:w="2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before="0" w:after="0"/>
            </w:pPr>
            <w:r>
              <w:rPr>
                <w:rFonts w:ascii="Calibri" w:cs="Calibri" w:eastAsia="Calibri" w:hAnsi="Calibri"/>
                <w:b w:val="false"/>
                <w:bCs w:val="false"/>
                <w:color w:val="2C2C2C"/>
                <w:sz w:val="19"/>
                <w:szCs w:val="19"/>
              </w:rPr>
              <w:t xml:space="preserve">_____ € HT</w:t>
            </w:r>
          </w:p>
        </w:tc>
        <w:tc>
          <w:tcPr>
            <w:tcW w:type="dxa" w:w="15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before="0" w:after="0"/>
            </w:pPr>
            <w:r>
              <w:rPr>
                <w:rFonts w:ascii="Calibri" w:cs="Calibri" w:eastAsia="Calibri" w:hAnsi="Calibri"/>
                <w:b w:val="false"/>
                <w:bCs w:val="false"/>
                <w:color w:val="2C2C2C"/>
                <w:sz w:val="19"/>
                <w:szCs w:val="19"/>
              </w:rPr>
              <w:t xml:space="preserve">☐ À régler</w:t>
            </w:r>
          </w:p>
        </w:tc>
      </w:tr>
      <w:tr>
        <w:tc>
          <w:tcPr>
            <w:tcW w:type="dxa" w:w="3000"/>
            <w:tcBorders>
              <w:top w:val="single" w:color="CCCCCC" w:sz="1"/>
              <w:left w:val="single" w:color="CCCCCC" w:sz="1"/>
              <w:bottom w:val="single" w:color="CCCCCC" w:sz="1"/>
              <w:right w:val="single" w:color="CCCCCC" w:sz="1"/>
            </w:tcBorders>
            <w:shd w:fill="EBF3FB" w:val="clear"/>
            <w:tcMar>
              <w:top w:type="dxa" w:w="60"/>
              <w:left w:type="dxa" w:w="120"/>
              <w:bottom w:type="dxa" w:w="60"/>
              <w:right w:type="dxa" w:w="120"/>
            </w:tcMar>
          </w:tcPr>
          <w:p>
            <w:pPr>
              <w:spacing w:before="0" w:after="0"/>
            </w:pPr>
            <w:r>
              <w:rPr>
                <w:rFonts w:ascii="Calibri" w:cs="Calibri" w:eastAsia="Calibri" w:hAnsi="Calibri"/>
                <w:b w:val="false"/>
                <w:bCs w:val="false"/>
                <w:color w:val="2C2C2C"/>
                <w:sz w:val="19"/>
                <w:szCs w:val="19"/>
              </w:rPr>
              <w:t xml:space="preserve">Phase 2-3 — Analyse &amp; Solutions</w:t>
            </w:r>
          </w:p>
        </w:tc>
        <w:tc>
          <w:tcPr>
            <w:tcW w:type="dxa" w:w="2400"/>
            <w:tcBorders>
              <w:top w:val="single" w:color="CCCCCC" w:sz="1"/>
              <w:left w:val="single" w:color="CCCCCC" w:sz="1"/>
              <w:bottom w:val="single" w:color="CCCCCC" w:sz="1"/>
              <w:right w:val="single" w:color="CCCCCC" w:sz="1"/>
            </w:tcBorders>
            <w:shd w:fill="EBF3FB" w:val="clear"/>
            <w:tcMar>
              <w:top w:type="dxa" w:w="60"/>
              <w:left w:type="dxa" w:w="120"/>
              <w:bottom w:type="dxa" w:w="60"/>
              <w:right w:type="dxa" w:w="120"/>
            </w:tcMar>
          </w:tcPr>
          <w:p>
            <w:pPr>
              <w:spacing w:before="0" w:after="0"/>
            </w:pPr>
            <w:r>
              <w:rPr>
                <w:rFonts w:ascii="Calibri" w:cs="Calibri" w:eastAsia="Calibri" w:hAnsi="Calibri"/>
                <w:b w:val="false"/>
                <w:bCs w:val="false"/>
                <w:color w:val="2C2C2C"/>
                <w:sz w:val="19"/>
                <w:szCs w:val="19"/>
              </w:rPr>
              <w:t xml:space="preserve">À validation du plan d'action</w:t>
            </w:r>
          </w:p>
        </w:tc>
        <w:tc>
          <w:tcPr>
            <w:tcW w:type="dxa" w:w="2400"/>
            <w:tcBorders>
              <w:top w:val="single" w:color="CCCCCC" w:sz="1"/>
              <w:left w:val="single" w:color="CCCCCC" w:sz="1"/>
              <w:bottom w:val="single" w:color="CCCCCC" w:sz="1"/>
              <w:right w:val="single" w:color="CCCCCC" w:sz="1"/>
            </w:tcBorders>
            <w:shd w:fill="EBF3FB" w:val="clear"/>
            <w:tcMar>
              <w:top w:type="dxa" w:w="60"/>
              <w:left w:type="dxa" w:w="120"/>
              <w:bottom w:type="dxa" w:w="60"/>
              <w:right w:type="dxa" w:w="120"/>
            </w:tcMar>
          </w:tcPr>
          <w:p>
            <w:pPr>
              <w:spacing w:before="0" w:after="0"/>
            </w:pPr>
            <w:r>
              <w:rPr>
                <w:rFonts w:ascii="Calibri" w:cs="Calibri" w:eastAsia="Calibri" w:hAnsi="Calibri"/>
                <w:b w:val="false"/>
                <w:bCs w:val="false"/>
                <w:color w:val="2C2C2C"/>
                <w:sz w:val="19"/>
                <w:szCs w:val="19"/>
              </w:rPr>
              <w:t xml:space="preserve">_____ € HT</w:t>
            </w:r>
          </w:p>
        </w:tc>
        <w:tc>
          <w:tcPr>
            <w:tcW w:type="dxa" w:w="1560"/>
            <w:tcBorders>
              <w:top w:val="single" w:color="CCCCCC" w:sz="1"/>
              <w:left w:val="single" w:color="CCCCCC" w:sz="1"/>
              <w:bottom w:val="single" w:color="CCCCCC" w:sz="1"/>
              <w:right w:val="single" w:color="CCCCCC" w:sz="1"/>
            </w:tcBorders>
            <w:shd w:fill="EBF3FB" w:val="clear"/>
            <w:tcMar>
              <w:top w:type="dxa" w:w="60"/>
              <w:left w:type="dxa" w:w="120"/>
              <w:bottom w:type="dxa" w:w="60"/>
              <w:right w:type="dxa" w:w="120"/>
            </w:tcMar>
          </w:tcPr>
          <w:p>
            <w:pPr>
              <w:spacing w:before="0" w:after="0"/>
            </w:pPr>
            <w:r>
              <w:rPr>
                <w:rFonts w:ascii="Calibri" w:cs="Calibri" w:eastAsia="Calibri" w:hAnsi="Calibri"/>
                <w:b w:val="false"/>
                <w:bCs w:val="false"/>
                <w:color w:val="2C2C2C"/>
                <w:sz w:val="19"/>
                <w:szCs w:val="19"/>
              </w:rPr>
              <w:t xml:space="preserve">☐ À régler</w:t>
            </w:r>
          </w:p>
        </w:tc>
      </w:tr>
      <w:tr>
        <w:tc>
          <w:tcPr>
            <w:tcW w:type="dxa" w:w="3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before="0" w:after="0"/>
            </w:pPr>
            <w:r>
              <w:rPr>
                <w:rFonts w:ascii="Calibri" w:cs="Calibri" w:eastAsia="Calibri" w:hAnsi="Calibri"/>
                <w:b w:val="false"/>
                <w:bCs w:val="false"/>
                <w:color w:val="2C2C2C"/>
                <w:sz w:val="19"/>
                <w:szCs w:val="19"/>
              </w:rPr>
              <w:t xml:space="preserve">Phase 4-5 — Déploiement &amp; Contrôle</w:t>
            </w:r>
          </w:p>
        </w:tc>
        <w:tc>
          <w:tcPr>
            <w:tcW w:type="dxa" w:w="2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before="0" w:after="0"/>
            </w:pPr>
            <w:r>
              <w:rPr>
                <w:rFonts w:ascii="Calibri" w:cs="Calibri" w:eastAsia="Calibri" w:hAnsi="Calibri"/>
                <w:b w:val="false"/>
                <w:bCs w:val="false"/>
                <w:color w:val="2C2C2C"/>
                <w:sz w:val="19"/>
                <w:szCs w:val="19"/>
              </w:rPr>
              <w:t xml:space="preserve">À mi-déploiement</w:t>
            </w:r>
          </w:p>
        </w:tc>
        <w:tc>
          <w:tcPr>
            <w:tcW w:type="dxa" w:w="2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before="0" w:after="0"/>
            </w:pPr>
            <w:r>
              <w:rPr>
                <w:rFonts w:ascii="Calibri" w:cs="Calibri" w:eastAsia="Calibri" w:hAnsi="Calibri"/>
                <w:b w:val="false"/>
                <w:bCs w:val="false"/>
                <w:color w:val="2C2C2C"/>
                <w:sz w:val="19"/>
                <w:szCs w:val="19"/>
              </w:rPr>
              <w:t xml:space="preserve">_____ € HT</w:t>
            </w:r>
          </w:p>
        </w:tc>
        <w:tc>
          <w:tcPr>
            <w:tcW w:type="dxa" w:w="15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before="0" w:after="0"/>
            </w:pPr>
            <w:r>
              <w:rPr>
                <w:rFonts w:ascii="Calibri" w:cs="Calibri" w:eastAsia="Calibri" w:hAnsi="Calibri"/>
                <w:b w:val="false"/>
                <w:bCs w:val="false"/>
                <w:color w:val="2C2C2C"/>
                <w:sz w:val="19"/>
                <w:szCs w:val="19"/>
              </w:rPr>
              <w:t xml:space="preserve">☐ À régler</w:t>
            </w:r>
          </w:p>
        </w:tc>
      </w:tr>
      <w:tr>
        <w:tc>
          <w:tcPr>
            <w:tcW w:type="dxa" w:w="3000"/>
            <w:tcBorders>
              <w:top w:val="single" w:color="CCCCCC" w:sz="1"/>
              <w:left w:val="single" w:color="CCCCCC" w:sz="1"/>
              <w:bottom w:val="single" w:color="CCCCCC" w:sz="1"/>
              <w:right w:val="single" w:color="CCCCCC" w:sz="1"/>
            </w:tcBorders>
            <w:shd w:fill="EBF3FB" w:val="clear"/>
            <w:tcMar>
              <w:top w:type="dxa" w:w="60"/>
              <w:left w:type="dxa" w:w="120"/>
              <w:bottom w:type="dxa" w:w="60"/>
              <w:right w:type="dxa" w:w="120"/>
            </w:tcMar>
          </w:tcPr>
          <w:p>
            <w:pPr>
              <w:spacing w:before="0" w:after="0"/>
            </w:pPr>
            <w:r>
              <w:rPr>
                <w:rFonts w:ascii="Calibri" w:cs="Calibri" w:eastAsia="Calibri" w:hAnsi="Calibri"/>
                <w:b w:val="false"/>
                <w:bCs w:val="false"/>
                <w:color w:val="2C2C2C"/>
                <w:sz w:val="19"/>
                <w:szCs w:val="19"/>
              </w:rPr>
              <w:t xml:space="preserve">Phase 6 — Clôture &amp; Accompagnement</w:t>
            </w:r>
          </w:p>
        </w:tc>
        <w:tc>
          <w:tcPr>
            <w:tcW w:type="dxa" w:w="2400"/>
            <w:tcBorders>
              <w:top w:val="single" w:color="CCCCCC" w:sz="1"/>
              <w:left w:val="single" w:color="CCCCCC" w:sz="1"/>
              <w:bottom w:val="single" w:color="CCCCCC" w:sz="1"/>
              <w:right w:val="single" w:color="CCCCCC" w:sz="1"/>
            </w:tcBorders>
            <w:shd w:fill="EBF3FB" w:val="clear"/>
            <w:tcMar>
              <w:top w:type="dxa" w:w="60"/>
              <w:left w:type="dxa" w:w="120"/>
              <w:bottom w:type="dxa" w:w="60"/>
              <w:right w:type="dxa" w:w="120"/>
            </w:tcMar>
          </w:tcPr>
          <w:p>
            <w:pPr>
              <w:spacing w:before="0" w:after="0"/>
            </w:pPr>
            <w:r>
              <w:rPr>
                <w:rFonts w:ascii="Calibri" w:cs="Calibri" w:eastAsia="Calibri" w:hAnsi="Calibri"/>
                <w:b w:val="false"/>
                <w:bCs w:val="false"/>
                <w:color w:val="2C2C2C"/>
                <w:sz w:val="19"/>
                <w:szCs w:val="19"/>
              </w:rPr>
              <w:t xml:space="preserve">À remise du rapport final</w:t>
            </w:r>
          </w:p>
        </w:tc>
        <w:tc>
          <w:tcPr>
            <w:tcW w:type="dxa" w:w="2400"/>
            <w:tcBorders>
              <w:top w:val="single" w:color="CCCCCC" w:sz="1"/>
              <w:left w:val="single" w:color="CCCCCC" w:sz="1"/>
              <w:bottom w:val="single" w:color="CCCCCC" w:sz="1"/>
              <w:right w:val="single" w:color="CCCCCC" w:sz="1"/>
            </w:tcBorders>
            <w:shd w:fill="EBF3FB" w:val="clear"/>
            <w:tcMar>
              <w:top w:type="dxa" w:w="60"/>
              <w:left w:type="dxa" w:w="120"/>
              <w:bottom w:type="dxa" w:w="60"/>
              <w:right w:type="dxa" w:w="120"/>
            </w:tcMar>
          </w:tcPr>
          <w:p>
            <w:pPr>
              <w:spacing w:before="0" w:after="0"/>
            </w:pPr>
            <w:r>
              <w:rPr>
                <w:rFonts w:ascii="Calibri" w:cs="Calibri" w:eastAsia="Calibri" w:hAnsi="Calibri"/>
                <w:b w:val="false"/>
                <w:bCs w:val="false"/>
                <w:color w:val="2C2C2C"/>
                <w:sz w:val="19"/>
                <w:szCs w:val="19"/>
              </w:rPr>
              <w:t xml:space="preserve">_____ € HT</w:t>
            </w:r>
          </w:p>
        </w:tc>
        <w:tc>
          <w:tcPr>
            <w:tcW w:type="dxa" w:w="1560"/>
            <w:tcBorders>
              <w:top w:val="single" w:color="CCCCCC" w:sz="1"/>
              <w:left w:val="single" w:color="CCCCCC" w:sz="1"/>
              <w:bottom w:val="single" w:color="CCCCCC" w:sz="1"/>
              <w:right w:val="single" w:color="CCCCCC" w:sz="1"/>
            </w:tcBorders>
            <w:shd w:fill="EBF3FB" w:val="clear"/>
            <w:tcMar>
              <w:top w:type="dxa" w:w="60"/>
              <w:left w:type="dxa" w:w="120"/>
              <w:bottom w:type="dxa" w:w="60"/>
              <w:right w:type="dxa" w:w="120"/>
            </w:tcMar>
          </w:tcPr>
          <w:p>
            <w:pPr>
              <w:spacing w:before="0" w:after="0"/>
            </w:pPr>
            <w:r>
              <w:rPr>
                <w:rFonts w:ascii="Calibri" w:cs="Calibri" w:eastAsia="Calibri" w:hAnsi="Calibri"/>
                <w:b w:val="false"/>
                <w:bCs w:val="false"/>
                <w:color w:val="2C2C2C"/>
                <w:sz w:val="19"/>
                <w:szCs w:val="19"/>
              </w:rPr>
              <w:t xml:space="preserve">☐ À régler</w:t>
            </w:r>
          </w:p>
        </w:tc>
      </w:tr>
      <w:tr>
        <w:tc>
          <w:tcPr>
            <w:tcW w:type="dxa" w:w="30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before="0" w:after="0"/>
            </w:pPr>
            <w:r>
              <w:rPr>
                <w:rFonts w:ascii="Calibri" w:cs="Calibri" w:eastAsia="Calibri" w:hAnsi="Calibri"/>
                <w:b w:val="false"/>
                <w:bCs w:val="false"/>
                <w:color w:val="2C2C2C"/>
                <w:sz w:val="19"/>
                <w:szCs w:val="19"/>
              </w:rPr>
              <w:t xml:space="preserve">Solde final</w:t>
            </w:r>
          </w:p>
        </w:tc>
        <w:tc>
          <w:tcPr>
            <w:tcW w:type="dxa" w:w="2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before="0" w:after="0"/>
            </w:pPr>
            <w:r>
              <w:rPr>
                <w:rFonts w:ascii="Calibri" w:cs="Calibri" w:eastAsia="Calibri" w:hAnsi="Calibri"/>
                <w:b w:val="false"/>
                <w:bCs w:val="false"/>
                <w:color w:val="2C2C2C"/>
                <w:sz w:val="19"/>
                <w:szCs w:val="19"/>
              </w:rPr>
              <w:t xml:space="preserve">À signature de la clôture</w:t>
            </w:r>
          </w:p>
        </w:tc>
        <w:tc>
          <w:tcPr>
            <w:tcW w:type="dxa" w:w="240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before="0" w:after="0"/>
            </w:pPr>
            <w:r>
              <w:rPr>
                <w:rFonts w:ascii="Calibri" w:cs="Calibri" w:eastAsia="Calibri" w:hAnsi="Calibri"/>
                <w:b w:val="false"/>
                <w:bCs w:val="false"/>
                <w:color w:val="2C2C2C"/>
                <w:sz w:val="19"/>
                <w:szCs w:val="19"/>
              </w:rPr>
              <w:t xml:space="preserve">_____ € HT</w:t>
            </w:r>
          </w:p>
        </w:tc>
        <w:tc>
          <w:tcPr>
            <w:tcW w:type="dxa" w:w="1560"/>
            <w:tcBorders>
              <w:top w:val="single" w:color="CCCCCC" w:sz="1"/>
              <w:left w:val="single" w:color="CCCCCC" w:sz="1"/>
              <w:bottom w:val="single" w:color="CCCCCC" w:sz="1"/>
              <w:right w:val="single" w:color="CCCCCC" w:sz="1"/>
            </w:tcBorders>
            <w:shd w:fill="FFFFFF" w:val="clear"/>
            <w:tcMar>
              <w:top w:type="dxa" w:w="60"/>
              <w:left w:type="dxa" w:w="120"/>
              <w:bottom w:type="dxa" w:w="60"/>
              <w:right w:type="dxa" w:w="120"/>
            </w:tcMar>
          </w:tcPr>
          <w:p>
            <w:pPr>
              <w:spacing w:before="0" w:after="0"/>
            </w:pPr>
            <w:r>
              <w:rPr>
                <w:rFonts w:ascii="Calibri" w:cs="Calibri" w:eastAsia="Calibri" w:hAnsi="Calibri"/>
                <w:b w:val="false"/>
                <w:bCs w:val="false"/>
                <w:color w:val="2C2C2C"/>
                <w:sz w:val="19"/>
                <w:szCs w:val="19"/>
              </w:rPr>
              <w:t xml:space="preserve">☐ À régler</w:t>
            </w:r>
          </w:p>
        </w:tc>
      </w:tr>
      <w:tr>
        <w:tc>
          <w:tcPr>
            <w:tcW w:type="dxa" w:w="3000"/>
            <w:tcBorders>
              <w:top w:val="single" w:color="CCCCCC" w:sz="1"/>
              <w:left w:val="single" w:color="CCCCCC" w:sz="1"/>
              <w:bottom w:val="single" w:color="CCCCCC" w:sz="1"/>
              <w:right w:val="single" w:color="CCCCCC" w:sz="1"/>
            </w:tcBorders>
            <w:shd w:fill="EBF3FB" w:val="clear"/>
            <w:tcMar>
              <w:top w:type="dxa" w:w="60"/>
              <w:left w:type="dxa" w:w="120"/>
              <w:bottom w:type="dxa" w:w="60"/>
              <w:right w:type="dxa" w:w="120"/>
            </w:tcMar>
          </w:tcPr>
          <w:p>
            <w:pPr>
              <w:spacing w:before="0" w:after="0"/>
            </w:pPr>
            <w:r>
              <w:rPr>
                <w:rFonts w:ascii="Calibri" w:cs="Calibri" w:eastAsia="Calibri" w:hAnsi="Calibri"/>
                <w:b/>
                <w:bCs/>
                <w:color w:val="1B3A6B"/>
                <w:sz w:val="19"/>
                <w:szCs w:val="19"/>
              </w:rPr>
              <w:t xml:space="preserve">TOTAL HONORAIRES HT</w:t>
            </w:r>
          </w:p>
        </w:tc>
        <w:tc>
          <w:tcPr>
            <w:tcW w:type="dxa" w:w="2400"/>
            <w:tcBorders>
              <w:top w:val="single" w:color="CCCCCC" w:sz="1"/>
              <w:left w:val="single" w:color="CCCCCC" w:sz="1"/>
              <w:bottom w:val="single" w:color="CCCCCC" w:sz="1"/>
              <w:right w:val="single" w:color="CCCCCC" w:sz="1"/>
            </w:tcBorders>
            <w:shd w:fill="EBF3FB" w:val="clear"/>
            <w:tcMar>
              <w:top w:type="dxa" w:w="60"/>
              <w:left w:type="dxa" w:w="120"/>
              <w:bottom w:type="dxa" w:w="60"/>
              <w:right w:type="dxa" w:w="120"/>
            </w:tcMar>
          </w:tcPr>
          <w:p>
            <w:pPr>
              <w:spacing w:before="0" w:after="0"/>
            </w:pPr>
            <w:r>
              <w:rPr>
                <w:rFonts w:ascii="Calibri" w:cs="Calibri" w:eastAsia="Calibri" w:hAnsi="Calibri"/>
                <w:b/>
                <w:bCs/>
                <w:color w:val="1B3A6B"/>
                <w:sz w:val="19"/>
                <w:szCs w:val="19"/>
              </w:rPr>
              <w:t xml:space="preserve"/>
            </w:r>
          </w:p>
        </w:tc>
        <w:tc>
          <w:tcPr>
            <w:tcW w:type="dxa" w:w="2400"/>
            <w:tcBorders>
              <w:top w:val="single" w:color="CCCCCC" w:sz="1"/>
              <w:left w:val="single" w:color="CCCCCC" w:sz="1"/>
              <w:bottom w:val="single" w:color="CCCCCC" w:sz="1"/>
              <w:right w:val="single" w:color="CCCCCC" w:sz="1"/>
            </w:tcBorders>
            <w:shd w:fill="EBF3FB" w:val="clear"/>
            <w:tcMar>
              <w:top w:type="dxa" w:w="60"/>
              <w:left w:type="dxa" w:w="120"/>
              <w:bottom w:type="dxa" w:w="60"/>
              <w:right w:type="dxa" w:w="120"/>
            </w:tcMar>
          </w:tcPr>
          <w:p>
            <w:pPr>
              <w:spacing w:before="0" w:after="0"/>
            </w:pPr>
            <w:r>
              <w:rPr>
                <w:rFonts w:ascii="Calibri" w:cs="Calibri" w:eastAsia="Calibri" w:hAnsi="Calibri"/>
                <w:b/>
                <w:bCs/>
                <w:color w:val="1B3A6B"/>
                <w:sz w:val="19"/>
                <w:szCs w:val="19"/>
              </w:rPr>
              <w:t xml:space="preserve">_____ € HT</w:t>
            </w:r>
          </w:p>
        </w:tc>
        <w:tc>
          <w:tcPr>
            <w:tcW w:type="dxa" w:w="1560"/>
            <w:tcBorders>
              <w:top w:val="single" w:color="CCCCCC" w:sz="1"/>
              <w:left w:val="single" w:color="CCCCCC" w:sz="1"/>
              <w:bottom w:val="single" w:color="CCCCCC" w:sz="1"/>
              <w:right w:val="single" w:color="CCCCCC" w:sz="1"/>
            </w:tcBorders>
            <w:shd w:fill="EBF3FB" w:val="clear"/>
            <w:tcMar>
              <w:top w:type="dxa" w:w="60"/>
              <w:left w:type="dxa" w:w="120"/>
              <w:bottom w:type="dxa" w:w="60"/>
              <w:right w:type="dxa" w:w="120"/>
            </w:tcMar>
          </w:tcPr>
          <w:p>
            <w:pPr>
              <w:spacing w:before="0" w:after="0"/>
            </w:pPr>
            <w:r>
              <w:rPr>
                <w:rFonts w:ascii="Calibri" w:cs="Calibri" w:eastAsia="Calibri" w:hAnsi="Calibri"/>
                <w:b/>
                <w:bCs/>
                <w:color w:val="1B3A6B"/>
                <w:sz w:val="19"/>
                <w:szCs w:val="19"/>
              </w:rPr>
              <w:t xml:space="preserve"/>
            </w:r>
          </w:p>
        </w:tc>
      </w:tr>
      <w:tr>
        <w:tc>
          <w:tcPr>
            <w:tcW w:type="dxa" w:w="3000"/>
            <w:tcBorders>
              <w:top w:val="single" w:color="CCCCCC" w:sz="1"/>
              <w:left w:val="single" w:color="CCCCCC" w:sz="1"/>
              <w:bottom w:val="single" w:color="CCCCCC" w:sz="1"/>
              <w:right w:val="single" w:color="CCCCCC" w:sz="1"/>
            </w:tcBorders>
            <w:shd w:fill="EBF3FB" w:val="clear"/>
            <w:tcMar>
              <w:top w:type="dxa" w:w="60"/>
              <w:left w:type="dxa" w:w="120"/>
              <w:bottom w:type="dxa" w:w="60"/>
              <w:right w:type="dxa" w:w="120"/>
            </w:tcMar>
          </w:tcPr>
          <w:p>
            <w:pPr>
              <w:spacing w:before="0" w:after="0"/>
            </w:pPr>
            <w:r>
              <w:rPr>
                <w:rFonts w:ascii="Calibri" w:cs="Calibri" w:eastAsia="Calibri" w:hAnsi="Calibri"/>
                <w:b/>
                <w:bCs/>
                <w:color w:val="1B3A6B"/>
                <w:sz w:val="19"/>
                <w:szCs w:val="19"/>
              </w:rPr>
              <w:t xml:space="preserve">TVA (20%)</w:t>
            </w:r>
          </w:p>
        </w:tc>
        <w:tc>
          <w:tcPr>
            <w:tcW w:type="dxa" w:w="2400"/>
            <w:tcBorders>
              <w:top w:val="single" w:color="CCCCCC" w:sz="1"/>
              <w:left w:val="single" w:color="CCCCCC" w:sz="1"/>
              <w:bottom w:val="single" w:color="CCCCCC" w:sz="1"/>
              <w:right w:val="single" w:color="CCCCCC" w:sz="1"/>
            </w:tcBorders>
            <w:shd w:fill="EBF3FB" w:val="clear"/>
            <w:tcMar>
              <w:top w:type="dxa" w:w="60"/>
              <w:left w:type="dxa" w:w="120"/>
              <w:bottom w:type="dxa" w:w="60"/>
              <w:right w:type="dxa" w:w="120"/>
            </w:tcMar>
          </w:tcPr>
          <w:p>
            <w:pPr>
              <w:spacing w:before="0" w:after="0"/>
            </w:pPr>
            <w:r>
              <w:rPr>
                <w:rFonts w:ascii="Calibri" w:cs="Calibri" w:eastAsia="Calibri" w:hAnsi="Calibri"/>
                <w:b/>
                <w:bCs/>
                <w:color w:val="1B3A6B"/>
                <w:sz w:val="19"/>
                <w:szCs w:val="19"/>
              </w:rPr>
              <w:t xml:space="preserve"/>
            </w:r>
          </w:p>
        </w:tc>
        <w:tc>
          <w:tcPr>
            <w:tcW w:type="dxa" w:w="2400"/>
            <w:tcBorders>
              <w:top w:val="single" w:color="CCCCCC" w:sz="1"/>
              <w:left w:val="single" w:color="CCCCCC" w:sz="1"/>
              <w:bottom w:val="single" w:color="CCCCCC" w:sz="1"/>
              <w:right w:val="single" w:color="CCCCCC" w:sz="1"/>
            </w:tcBorders>
            <w:shd w:fill="EBF3FB" w:val="clear"/>
            <w:tcMar>
              <w:top w:type="dxa" w:w="60"/>
              <w:left w:type="dxa" w:w="120"/>
              <w:bottom w:type="dxa" w:w="60"/>
              <w:right w:type="dxa" w:w="120"/>
            </w:tcMar>
          </w:tcPr>
          <w:p>
            <w:pPr>
              <w:spacing w:before="0" w:after="0"/>
            </w:pPr>
            <w:r>
              <w:rPr>
                <w:rFonts w:ascii="Calibri" w:cs="Calibri" w:eastAsia="Calibri" w:hAnsi="Calibri"/>
                <w:b/>
                <w:bCs/>
                <w:color w:val="1B3A6B"/>
                <w:sz w:val="19"/>
                <w:szCs w:val="19"/>
              </w:rPr>
              <w:t xml:space="preserve">_____ €</w:t>
            </w:r>
          </w:p>
        </w:tc>
        <w:tc>
          <w:tcPr>
            <w:tcW w:type="dxa" w:w="1560"/>
            <w:tcBorders>
              <w:top w:val="single" w:color="CCCCCC" w:sz="1"/>
              <w:left w:val="single" w:color="CCCCCC" w:sz="1"/>
              <w:bottom w:val="single" w:color="CCCCCC" w:sz="1"/>
              <w:right w:val="single" w:color="CCCCCC" w:sz="1"/>
            </w:tcBorders>
            <w:shd w:fill="EBF3FB" w:val="clear"/>
            <w:tcMar>
              <w:top w:type="dxa" w:w="60"/>
              <w:left w:type="dxa" w:w="120"/>
              <w:bottom w:type="dxa" w:w="60"/>
              <w:right w:type="dxa" w:w="120"/>
            </w:tcMar>
          </w:tcPr>
          <w:p>
            <w:pPr>
              <w:spacing w:before="0" w:after="0"/>
            </w:pPr>
            <w:r>
              <w:rPr>
                <w:rFonts w:ascii="Calibri" w:cs="Calibri" w:eastAsia="Calibri" w:hAnsi="Calibri"/>
                <w:b/>
                <w:bCs/>
                <w:color w:val="1B3A6B"/>
                <w:sz w:val="19"/>
                <w:szCs w:val="19"/>
              </w:rPr>
              <w:t xml:space="preserve"/>
            </w:r>
          </w:p>
        </w:tc>
      </w:tr>
      <w:tr>
        <w:tc>
          <w:tcPr>
            <w:tcW w:type="dxa" w:w="3000"/>
            <w:tcBorders>
              <w:top w:val="single" w:color="CCCCCC" w:sz="1"/>
              <w:left w:val="single" w:color="CCCCCC" w:sz="1"/>
              <w:bottom w:val="single" w:color="CCCCCC" w:sz="1"/>
              <w:right w:val="single" w:color="CCCCCC" w:sz="1"/>
            </w:tcBorders>
            <w:shd w:fill="EBF3FB" w:val="clear"/>
            <w:tcMar>
              <w:top w:type="dxa" w:w="60"/>
              <w:left w:type="dxa" w:w="120"/>
              <w:bottom w:type="dxa" w:w="60"/>
              <w:right w:type="dxa" w:w="120"/>
            </w:tcMar>
          </w:tcPr>
          <w:p>
            <w:pPr>
              <w:spacing w:before="0" w:after="0"/>
            </w:pPr>
            <w:r>
              <w:rPr>
                <w:rFonts w:ascii="Calibri" w:cs="Calibri" w:eastAsia="Calibri" w:hAnsi="Calibri"/>
                <w:b/>
                <w:bCs/>
                <w:color w:val="1B3A6B"/>
                <w:sz w:val="19"/>
                <w:szCs w:val="19"/>
              </w:rPr>
              <w:t xml:space="preserve">TOTAL TTC</w:t>
            </w:r>
          </w:p>
        </w:tc>
        <w:tc>
          <w:tcPr>
            <w:tcW w:type="dxa" w:w="2400"/>
            <w:tcBorders>
              <w:top w:val="single" w:color="CCCCCC" w:sz="1"/>
              <w:left w:val="single" w:color="CCCCCC" w:sz="1"/>
              <w:bottom w:val="single" w:color="CCCCCC" w:sz="1"/>
              <w:right w:val="single" w:color="CCCCCC" w:sz="1"/>
            </w:tcBorders>
            <w:shd w:fill="EBF3FB" w:val="clear"/>
            <w:tcMar>
              <w:top w:type="dxa" w:w="60"/>
              <w:left w:type="dxa" w:w="120"/>
              <w:bottom w:type="dxa" w:w="60"/>
              <w:right w:type="dxa" w:w="120"/>
            </w:tcMar>
          </w:tcPr>
          <w:p>
            <w:pPr>
              <w:spacing w:before="0" w:after="0"/>
            </w:pPr>
            <w:r>
              <w:rPr>
                <w:rFonts w:ascii="Calibri" w:cs="Calibri" w:eastAsia="Calibri" w:hAnsi="Calibri"/>
                <w:b/>
                <w:bCs/>
                <w:color w:val="1B3A6B"/>
                <w:sz w:val="19"/>
                <w:szCs w:val="19"/>
              </w:rPr>
              <w:t xml:space="preserve"/>
            </w:r>
          </w:p>
        </w:tc>
        <w:tc>
          <w:tcPr>
            <w:tcW w:type="dxa" w:w="2400"/>
            <w:tcBorders>
              <w:top w:val="single" w:color="CCCCCC" w:sz="1"/>
              <w:left w:val="single" w:color="CCCCCC" w:sz="1"/>
              <w:bottom w:val="single" w:color="CCCCCC" w:sz="1"/>
              <w:right w:val="single" w:color="CCCCCC" w:sz="1"/>
            </w:tcBorders>
            <w:shd w:fill="EBF3FB" w:val="clear"/>
            <w:tcMar>
              <w:top w:type="dxa" w:w="60"/>
              <w:left w:type="dxa" w:w="120"/>
              <w:bottom w:type="dxa" w:w="60"/>
              <w:right w:type="dxa" w:w="120"/>
            </w:tcMar>
          </w:tcPr>
          <w:p>
            <w:pPr>
              <w:spacing w:before="0" w:after="0"/>
            </w:pPr>
            <w:r>
              <w:rPr>
                <w:rFonts w:ascii="Calibri" w:cs="Calibri" w:eastAsia="Calibri" w:hAnsi="Calibri"/>
                <w:b/>
                <w:bCs/>
                <w:color w:val="1B3A6B"/>
                <w:sz w:val="19"/>
                <w:szCs w:val="19"/>
              </w:rPr>
              <w:t xml:space="preserve">_____ € TTC</w:t>
            </w:r>
          </w:p>
        </w:tc>
        <w:tc>
          <w:tcPr>
            <w:tcW w:type="dxa" w:w="1560"/>
            <w:tcBorders>
              <w:top w:val="single" w:color="CCCCCC" w:sz="1"/>
              <w:left w:val="single" w:color="CCCCCC" w:sz="1"/>
              <w:bottom w:val="single" w:color="CCCCCC" w:sz="1"/>
              <w:right w:val="single" w:color="CCCCCC" w:sz="1"/>
            </w:tcBorders>
            <w:shd w:fill="EBF3FB" w:val="clear"/>
            <w:tcMar>
              <w:top w:type="dxa" w:w="60"/>
              <w:left w:type="dxa" w:w="120"/>
              <w:bottom w:type="dxa" w:w="60"/>
              <w:right w:type="dxa" w:w="120"/>
            </w:tcMar>
          </w:tcPr>
          <w:p>
            <w:pPr>
              <w:spacing w:before="0" w:after="0"/>
            </w:pPr>
            <w:r>
              <w:rPr>
                <w:rFonts w:ascii="Calibri" w:cs="Calibri" w:eastAsia="Calibri" w:hAnsi="Calibri"/>
                <w:b/>
                <w:bCs/>
                <w:color w:val="1B3A6B"/>
                <w:sz w:val="19"/>
                <w:szCs w:val="19"/>
              </w:rPr>
              <w:t xml:space="preserve"/>
            </w:r>
          </w:p>
        </w:tc>
      </w:tr>
    </w:tbl>
    <w:p>
      <w:pPr>
        <w:spacing w:before="0" w:after="100"/>
      </w:pPr>
    </w:p>
    <w:p>
      <w:pPr>
        <w:spacing w:before="100" w:after="140"/>
      </w:pPr>
      <w:r>
        <w:rPr>
          <w:rFonts w:ascii="Calibri" w:cs="Calibri" w:eastAsia="Calibri" w:hAnsi="Calibri"/>
          <w:color w:val="2C2C2C"/>
          <w:sz w:val="21"/>
          <w:szCs w:val="21"/>
        </w:rPr>
        <w:t xml:space="preserve">Les factures sont payables à 30 jours date de réception, sauf mention contraire. Tout retard de paiement entraîne de plein droit l'application de pénalités de retard au taux légal majoré de 5 points, ainsi qu'une indemnité forfaitaire de 40 € pour frais de recouvrement.</w:t>
      </w:r>
    </w:p>
    <w:p>
      <w:pPr>
        <w:spacing w:before="100" w:after="140"/>
      </w:pPr>
      <w:r>
        <w:rPr>
          <w:rFonts w:ascii="Calibri" w:cs="Calibri" w:eastAsia="Calibri" w:hAnsi="Calibri"/>
          <w:color w:val="2C2C2C"/>
          <w:sz w:val="21"/>
          <w:szCs w:val="21"/>
        </w:rPr>
        <w:t xml:space="preserve">En cas de retard de paiement supérieur à 60 jours, le Prestataire se réserve le droit de suspendre la mission sans préavis, jusqu'à régularisation complète.</w:t>
      </w:r>
    </w:p>
    <w:p>
      <w:pPr>
        <w:spacing w:before="0" w:after="1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1B3A6B" w:sz="16"/>
              <w:bottom w:val="single" w:color="1B3A6B" w:sz="4"/>
              <w:right w:val="none" w:color="FFFFFF" w:sz="0"/>
            </w:tcBorders>
            <w:shd w:fill="EBF3FB" w:val="clear"/>
            <w:tcMar>
              <w:top w:type="dxa" w:w="120"/>
              <w:left w:type="dxa" w:w="200"/>
              <w:bottom w:type="dxa" w:w="120"/>
              <w:right w:type="dxa" w:w="200"/>
            </w:tcMar>
          </w:tcPr>
          <w:p>
            <w:pPr>
              <w:spacing w:before="0" w:after="0"/>
            </w:pPr>
            <w:r>
              <w:rPr>
                <w:rFonts w:ascii="Calibri" w:cs="Calibri" w:eastAsia="Calibri" w:hAnsi="Calibri"/>
                <w:b/>
                <w:bCs/>
                <w:color w:val="1B3A6B"/>
                <w:sz w:val="23"/>
                <w:szCs w:val="23"/>
              </w:rPr>
              <w:t xml:space="preserve">Article 6  —  </w:t>
            </w:r>
            <w:r>
              <w:rPr>
                <w:rFonts w:ascii="Calibri" w:cs="Calibri" w:eastAsia="Calibri" w:hAnsi="Calibri"/>
                <w:b/>
                <w:bCs/>
                <w:color w:val="C55A11"/>
                <w:sz w:val="23"/>
                <w:szCs w:val="23"/>
              </w:rPr>
              <w:t xml:space="preserve">Livrables et Propriété Intellectuelle</w:t>
            </w:r>
          </w:p>
        </w:tc>
      </w:tr>
    </w:tbl>
    <w:p>
      <w:pPr>
        <w:spacing w:before="0" w:after="100"/>
      </w:pPr>
    </w:p>
    <w:p>
      <w:pPr>
        <w:spacing w:before="100" w:after="140"/>
      </w:pPr>
      <w:r>
        <w:rPr>
          <w:rFonts w:ascii="Calibri" w:cs="Calibri" w:eastAsia="Calibri" w:hAnsi="Calibri"/>
          <w:color w:val="2C2C2C"/>
          <w:sz w:val="21"/>
          <w:szCs w:val="21"/>
        </w:rPr>
        <w:t xml:space="preserve">Le Prestataire s'engage à remettre au Client les livrables détaillés dans le Project Charter (Annexe A). La liste complète est la suivante :</w:t>
      </w:r>
    </w:p>
    <w:p>
      <w:pPr>
        <w:pStyle w:val="ListParagraph"/>
        <w:numPr>
          <w:ilvl w:val="0"/>
          <w:numId w:val="2"/>
        </w:numPr>
        <w:spacing w:before="20" w:after="20"/>
      </w:pPr>
      <w:r>
        <w:rPr>
          <w:rFonts w:ascii="Calibri" w:cs="Calibri" w:eastAsia="Calibri" w:hAnsi="Calibri"/>
          <w:color w:val="2C2C2C"/>
          <w:sz w:val="21"/>
          <w:szCs w:val="21"/>
        </w:rPr>
        <w:t xml:space="preserve">VSM état actuel et état futur</w:t>
      </w:r>
    </w:p>
    <w:p>
      <w:pPr>
        <w:pStyle w:val="ListParagraph"/>
        <w:numPr>
          <w:ilvl w:val="0"/>
          <w:numId w:val="2"/>
        </w:numPr>
        <w:spacing w:before="20" w:after="20"/>
      </w:pPr>
      <w:r>
        <w:rPr>
          <w:rFonts w:ascii="Calibri" w:cs="Calibri" w:eastAsia="Calibri" w:hAnsi="Calibri"/>
          <w:color w:val="2C2C2C"/>
          <w:sz w:val="21"/>
          <w:szCs w:val="21"/>
        </w:rPr>
        <w:t xml:space="preserve">Rapport d'analyse des causes racines</w:t>
      </w:r>
    </w:p>
    <w:p>
      <w:pPr>
        <w:pStyle w:val="ListParagraph"/>
        <w:numPr>
          <w:ilvl w:val="0"/>
          <w:numId w:val="2"/>
        </w:numPr>
        <w:spacing w:before="20" w:after="20"/>
      </w:pPr>
      <w:r>
        <w:rPr>
          <w:rFonts w:ascii="Calibri" w:cs="Calibri" w:eastAsia="Calibri" w:hAnsi="Calibri"/>
          <w:color w:val="2C2C2C"/>
          <w:sz w:val="21"/>
          <w:szCs w:val="21"/>
        </w:rPr>
        <w:t xml:space="preserve">Plan d'action Kaizen / SMED avec Gantt</w:t>
      </w:r>
    </w:p>
    <w:p>
      <w:pPr>
        <w:pStyle w:val="ListParagraph"/>
        <w:numPr>
          <w:ilvl w:val="0"/>
          <w:numId w:val="2"/>
        </w:numPr>
        <w:spacing w:before="20" w:after="20"/>
      </w:pPr>
      <w:r>
        <w:rPr>
          <w:rFonts w:ascii="Calibri" w:cs="Calibri" w:eastAsia="Calibri" w:hAnsi="Calibri"/>
          <w:color w:val="2C2C2C"/>
          <w:sz w:val="21"/>
          <w:szCs w:val="21"/>
        </w:rPr>
        <w:t xml:space="preserve">Standards et SOP rédigés avec les opérateurs</w:t>
      </w:r>
    </w:p>
    <w:p>
      <w:pPr>
        <w:pStyle w:val="ListParagraph"/>
        <w:numPr>
          <w:ilvl w:val="0"/>
          <w:numId w:val="2"/>
        </w:numPr>
        <w:spacing w:before="20" w:after="20"/>
      </w:pPr>
      <w:r>
        <w:rPr>
          <w:rFonts w:ascii="Calibri" w:cs="Calibri" w:eastAsia="Calibri" w:hAnsi="Calibri"/>
          <w:color w:val="2C2C2C"/>
          <w:sz w:val="21"/>
          <w:szCs w:val="21"/>
        </w:rPr>
        <w:t xml:space="preserve">Tableaux de bord de pilotage (KPI) configurés</w:t>
      </w:r>
    </w:p>
    <w:p>
      <w:pPr>
        <w:pStyle w:val="ListParagraph"/>
        <w:numPr>
          <w:ilvl w:val="0"/>
          <w:numId w:val="2"/>
        </w:numPr>
        <w:spacing w:before="20" w:after="20"/>
      </w:pPr>
      <w:r>
        <w:rPr>
          <w:rFonts w:ascii="Calibri" w:cs="Calibri" w:eastAsia="Calibri" w:hAnsi="Calibri"/>
          <w:color w:val="2C2C2C"/>
          <w:sz w:val="21"/>
          <w:szCs w:val="21"/>
        </w:rPr>
        <w:t xml:space="preserve">Rapport de mission final avec ROI mesuré et validé</w:t>
      </w:r>
    </w:p>
    <w:p>
      <w:pPr>
        <w:pStyle w:val="ListParagraph"/>
        <w:numPr>
          <w:ilvl w:val="0"/>
          <w:numId w:val="2"/>
        </w:numPr>
        <w:spacing w:before="20" w:after="20"/>
      </w:pPr>
      <w:r>
        <w:rPr>
          <w:rFonts w:ascii="Calibri" w:cs="Calibri" w:eastAsia="Calibri" w:hAnsi="Calibri"/>
          <w:color w:val="2C2C2C"/>
          <w:sz w:val="21"/>
          <w:szCs w:val="21"/>
        </w:rPr>
        <w:t xml:space="preserve">Supports de formation remis aux équipes</w:t>
      </w:r>
    </w:p>
    <w:p>
      <w:pPr>
        <w:pStyle w:val="ListParagraph"/>
        <w:numPr>
          <w:ilvl w:val="0"/>
          <w:numId w:val="2"/>
        </w:numPr>
        <w:spacing w:before="20" w:after="20"/>
      </w:pPr>
      <w:r>
        <w:rPr>
          <w:rFonts w:ascii="Calibri" w:cs="Calibri" w:eastAsia="Calibri" w:hAnsi="Calibri"/>
          <w:color w:val="2C2C2C"/>
          <w:sz w:val="21"/>
          <w:szCs w:val="21"/>
        </w:rPr>
        <w:t xml:space="preserve">Compte-rendu des réunions de COPIL</w:t>
      </w:r>
    </w:p>
    <w:p>
      <w:pPr>
        <w:pStyle w:val="ListParagraph"/>
        <w:numPr>
          <w:ilvl w:val="0"/>
          <w:numId w:val="2"/>
        </w:numPr>
        <w:spacing w:before="20" w:after="20"/>
      </w:pPr>
      <w:r>
        <w:rPr>
          <w:rFonts w:ascii="Calibri" w:cs="Calibri" w:eastAsia="Calibri" w:hAnsi="Calibri"/>
          <w:color w:val="2C2C2C"/>
          <w:sz w:val="21"/>
          <w:szCs w:val="21"/>
        </w:rPr>
        <w:t xml:space="preserve">Rapports de suivi J+30, J+60, J+90 (si inclus dans la mission)</w:t>
      </w:r>
    </w:p>
    <w:p>
      <w:pPr>
        <w:spacing w:before="0" w:after="80"/>
      </w:pPr>
    </w:p>
    <w:p>
      <w:pPr>
        <w:spacing w:before="100" w:after="140"/>
      </w:pPr>
      <w:r>
        <w:rPr>
          <w:rFonts w:ascii="Calibri" w:cs="Calibri" w:eastAsia="Calibri" w:hAnsi="Calibri"/>
          <w:color w:val="2C2C2C"/>
          <w:sz w:val="21"/>
          <w:szCs w:val="21"/>
        </w:rPr>
        <w:t xml:space="preserve">Les outils, méthodologies, templates et méthodes appartenant en propre au Prestataire restent sa propriété intellectuelle exclusive, même s'ils sont utilisés ou adaptés dans le cadre de la mission.</w:t>
      </w:r>
    </w:p>
    <w:p>
      <w:pPr>
        <w:spacing w:before="100" w:after="140"/>
      </w:pPr>
      <w:r>
        <w:rPr>
          <w:rFonts w:ascii="Calibri" w:cs="Calibri" w:eastAsia="Calibri" w:hAnsi="Calibri"/>
          <w:color w:val="2C2C2C"/>
          <w:sz w:val="21"/>
          <w:szCs w:val="21"/>
        </w:rPr>
        <w:t xml:space="preserve">Les livrables produits spécifiquement pour le Client dans le cadre de la mission (VSM, SOP, plans d'action, rapports) sont cédés au Client à titre définitif dès complet paiement des honoraires.</w:t>
      </w:r>
    </w:p>
    <w:p>
      <w:pPr>
        <w:spacing w:before="100" w:after="140"/>
      </w:pPr>
      <w:r>
        <w:rPr>
          <w:rFonts w:ascii="Calibri" w:cs="Calibri" w:eastAsia="Calibri" w:hAnsi="Calibri"/>
          <w:color w:val="2C2C2C"/>
          <w:sz w:val="21"/>
          <w:szCs w:val="21"/>
        </w:rPr>
        <w:t xml:space="preserve">Le Client s'interdit de revendre ou de céder à des tiers les livrables reçus sans accord écrit préalable du Prestataire.</w:t>
      </w:r>
    </w:p>
    <w:p>
      <w:pPr>
        <w:spacing w:before="0" w:after="1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1B3A6B" w:sz="16"/>
              <w:bottom w:val="single" w:color="1B3A6B" w:sz="4"/>
              <w:right w:val="none" w:color="FFFFFF" w:sz="0"/>
            </w:tcBorders>
            <w:shd w:fill="EBF3FB" w:val="clear"/>
            <w:tcMar>
              <w:top w:type="dxa" w:w="120"/>
              <w:left w:type="dxa" w:w="200"/>
              <w:bottom w:type="dxa" w:w="120"/>
              <w:right w:type="dxa" w:w="200"/>
            </w:tcMar>
          </w:tcPr>
          <w:p>
            <w:pPr>
              <w:spacing w:before="0" w:after="0"/>
            </w:pPr>
            <w:r>
              <w:rPr>
                <w:rFonts w:ascii="Calibri" w:cs="Calibri" w:eastAsia="Calibri" w:hAnsi="Calibri"/>
                <w:b/>
                <w:bCs/>
                <w:color w:val="1B3A6B"/>
                <w:sz w:val="23"/>
                <w:szCs w:val="23"/>
              </w:rPr>
              <w:t xml:space="preserve">Article 7  —  </w:t>
            </w:r>
            <w:r>
              <w:rPr>
                <w:rFonts w:ascii="Calibri" w:cs="Calibri" w:eastAsia="Calibri" w:hAnsi="Calibri"/>
                <w:b/>
                <w:bCs/>
                <w:color w:val="C55A11"/>
                <w:sz w:val="23"/>
                <w:szCs w:val="23"/>
              </w:rPr>
              <w:t xml:space="preserve">Indépendance du Consultant</w:t>
            </w:r>
          </w:p>
        </w:tc>
      </w:tr>
    </w:tbl>
    <w:p>
      <w:pPr>
        <w:spacing w:before="0" w:after="100"/>
      </w:pPr>
    </w:p>
    <w:p>
      <w:pPr>
        <w:spacing w:before="100" w:after="140"/>
      </w:pPr>
      <w:r>
        <w:rPr>
          <w:rFonts w:ascii="Calibri" w:cs="Calibri" w:eastAsia="Calibri" w:hAnsi="Calibri"/>
          <w:color w:val="2C2C2C"/>
          <w:sz w:val="21"/>
          <w:szCs w:val="21"/>
        </w:rPr>
        <w:t xml:space="preserve">Le Prestataire intervient en tant que prestataire de services indépendant. Le présent contrat ne peut en aucun cas être requalifié en contrat de travail, de portage salarial ou d'intérim.</w:t>
      </w:r>
    </w:p>
    <w:p>
      <w:pPr>
        <w:spacing w:before="100" w:after="140"/>
      </w:pPr>
      <w:r>
        <w:rPr>
          <w:rFonts w:ascii="Calibri" w:cs="Calibri" w:eastAsia="Calibri" w:hAnsi="Calibri"/>
          <w:color w:val="2C2C2C"/>
          <w:sz w:val="21"/>
          <w:szCs w:val="21"/>
        </w:rPr>
        <w:t xml:space="preserve">Le Prestataire reste libre d'exercer simultanément d'autres activités de conseil auprès de clients non concurrents du Client, sauf clause de non-concurrence expressément convenue entre les Parties (Article 11).</w:t>
      </w:r>
    </w:p>
    <w:p>
      <w:pPr>
        <w:spacing w:before="100" w:after="140"/>
      </w:pPr>
      <w:r>
        <w:rPr>
          <w:rFonts w:ascii="Calibri" w:cs="Calibri" w:eastAsia="Calibri" w:hAnsi="Calibri"/>
          <w:color w:val="2C2C2C"/>
          <w:sz w:val="21"/>
          <w:szCs w:val="21"/>
        </w:rPr>
        <w:t xml:space="preserve">Le Prestataire n'est pas soumis à l'autorité hiérarchique du Client. Il organise son temps de travail librement, dans le respect des délais et livrables convenus.</w:t>
      </w:r>
    </w:p>
    <w:p>
      <w:pPr>
        <w:spacing w:before="0" w:after="1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1B3A6B" w:sz="16"/>
              <w:bottom w:val="single" w:color="1B3A6B" w:sz="4"/>
              <w:right w:val="none" w:color="FFFFFF" w:sz="0"/>
            </w:tcBorders>
            <w:shd w:fill="EBF3FB" w:val="clear"/>
            <w:tcMar>
              <w:top w:type="dxa" w:w="120"/>
              <w:left w:type="dxa" w:w="200"/>
              <w:bottom w:type="dxa" w:w="120"/>
              <w:right w:type="dxa" w:w="200"/>
            </w:tcMar>
          </w:tcPr>
          <w:p>
            <w:pPr>
              <w:spacing w:before="0" w:after="0"/>
            </w:pPr>
            <w:r>
              <w:rPr>
                <w:rFonts w:ascii="Calibri" w:cs="Calibri" w:eastAsia="Calibri" w:hAnsi="Calibri"/>
                <w:b/>
                <w:bCs/>
                <w:color w:val="1B3A6B"/>
                <w:sz w:val="23"/>
                <w:szCs w:val="23"/>
              </w:rPr>
              <w:t xml:space="preserve">Article 8  —  </w:t>
            </w:r>
            <w:r>
              <w:rPr>
                <w:rFonts w:ascii="Calibri" w:cs="Calibri" w:eastAsia="Calibri" w:hAnsi="Calibri"/>
                <w:b/>
                <w:bCs/>
                <w:color w:val="C55A11"/>
                <w:sz w:val="23"/>
                <w:szCs w:val="23"/>
              </w:rPr>
              <w:t xml:space="preserve">Responsabilité du Prestataire</w:t>
            </w:r>
          </w:p>
        </w:tc>
      </w:tr>
    </w:tbl>
    <w:p>
      <w:pPr>
        <w:spacing w:before="0" w:after="100"/>
      </w:pPr>
    </w:p>
    <w:p>
      <w:pPr>
        <w:spacing w:before="100" w:after="140"/>
      </w:pPr>
      <w:r>
        <w:rPr>
          <w:rFonts w:ascii="Calibri" w:cs="Calibri" w:eastAsia="Calibri" w:hAnsi="Calibri"/>
          <w:color w:val="2C2C2C"/>
          <w:sz w:val="21"/>
          <w:szCs w:val="21"/>
        </w:rPr>
        <w:t xml:space="preserve">La responsabilité du Prestataire ne pourra être engagée qu'en cas de faute prouvée dans l'exécution de la mission.</w:t>
      </w:r>
    </w:p>
    <w:p>
      <w:pPr>
        <w:spacing w:before="100" w:after="140"/>
      </w:pPr>
      <w:r>
        <w:rPr>
          <w:rFonts w:ascii="Calibri" w:cs="Calibri" w:eastAsia="Calibri" w:hAnsi="Calibri"/>
          <w:color w:val="2C2C2C"/>
          <w:sz w:val="21"/>
          <w:szCs w:val="21"/>
        </w:rPr>
        <w:t xml:space="preserve">En aucun cas, la responsabilité du Prestataire ne pourra être engagée pour :</w:t>
      </w:r>
    </w:p>
    <w:p>
      <w:pPr>
        <w:pStyle w:val="ListParagraph"/>
        <w:numPr>
          <w:ilvl w:val="0"/>
          <w:numId w:val="2"/>
        </w:numPr>
        <w:spacing w:before="20" w:after="20"/>
      </w:pPr>
      <w:r>
        <w:rPr>
          <w:rFonts w:ascii="Calibri" w:cs="Calibri" w:eastAsia="Calibri" w:hAnsi="Calibri"/>
          <w:color w:val="2C2C2C"/>
          <w:sz w:val="21"/>
          <w:szCs w:val="21"/>
        </w:rPr>
        <w:t xml:space="preserve">Des dommages indirects, pertes d'exploitation, pertes de chiffre d'affaires ou préjudices commerciaux ;</w:t>
      </w:r>
    </w:p>
    <w:p>
      <w:pPr>
        <w:pStyle w:val="ListParagraph"/>
        <w:numPr>
          <w:ilvl w:val="0"/>
          <w:numId w:val="2"/>
        </w:numPr>
        <w:spacing w:before="20" w:after="20"/>
      </w:pPr>
      <w:r>
        <w:rPr>
          <w:rFonts w:ascii="Calibri" w:cs="Calibri" w:eastAsia="Calibri" w:hAnsi="Calibri"/>
          <w:color w:val="2C2C2C"/>
          <w:sz w:val="21"/>
          <w:szCs w:val="21"/>
        </w:rPr>
        <w:t xml:space="preserve">Des décisions prises par le Client sur la base des recommandations du Prestataire ;</w:t>
      </w:r>
    </w:p>
    <w:p>
      <w:pPr>
        <w:pStyle w:val="ListParagraph"/>
        <w:numPr>
          <w:ilvl w:val="0"/>
          <w:numId w:val="2"/>
        </w:numPr>
        <w:spacing w:before="20" w:after="20"/>
      </w:pPr>
      <w:r>
        <w:rPr>
          <w:rFonts w:ascii="Calibri" w:cs="Calibri" w:eastAsia="Calibri" w:hAnsi="Calibri"/>
          <w:color w:val="2C2C2C"/>
          <w:sz w:val="21"/>
          <w:szCs w:val="21"/>
        </w:rPr>
        <w:t xml:space="preserve">Des résultats inférieurs aux objectifs en cas de non-respect par le Client de ses engagements (disponibilité, données, ressources) ;</w:t>
      </w:r>
    </w:p>
    <w:p>
      <w:pPr>
        <w:pStyle w:val="ListParagraph"/>
        <w:numPr>
          <w:ilvl w:val="0"/>
          <w:numId w:val="2"/>
        </w:numPr>
        <w:spacing w:before="20" w:after="20"/>
      </w:pPr>
      <w:r>
        <w:rPr>
          <w:rFonts w:ascii="Calibri" w:cs="Calibri" w:eastAsia="Calibri" w:hAnsi="Calibri"/>
          <w:color w:val="2C2C2C"/>
          <w:sz w:val="21"/>
          <w:szCs w:val="21"/>
        </w:rPr>
        <w:t xml:space="preserve">Tout événement de force majeure au sens de l'Article 1218 du Code civil.</w:t>
      </w:r>
    </w:p>
    <w:p>
      <w:pPr>
        <w:spacing w:before="0" w:after="80"/>
      </w:pPr>
    </w:p>
    <w:p>
      <w:pPr>
        <w:spacing w:before="100" w:after="140"/>
      </w:pPr>
      <w:r>
        <w:rPr>
          <w:rFonts w:ascii="Calibri" w:cs="Calibri" w:eastAsia="Calibri" w:hAnsi="Calibri"/>
          <w:color w:val="2C2C2C"/>
          <w:sz w:val="21"/>
          <w:szCs w:val="21"/>
        </w:rPr>
        <w:t xml:space="preserve">En tout état de cause, la responsabilité totale du Prestataire est plafonnée au montant des honoraires effectivement perçus dans le cadre du présent contrat.</w:t>
      </w:r>
    </w:p>
    <w:p>
      <w:pPr>
        <w:spacing w:before="0" w:after="1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1B3A6B" w:sz="16"/>
              <w:bottom w:val="single" w:color="1B3A6B" w:sz="4"/>
              <w:right w:val="none" w:color="FFFFFF" w:sz="0"/>
            </w:tcBorders>
            <w:shd w:fill="EBF3FB" w:val="clear"/>
            <w:tcMar>
              <w:top w:type="dxa" w:w="120"/>
              <w:left w:type="dxa" w:w="200"/>
              <w:bottom w:type="dxa" w:w="120"/>
              <w:right w:type="dxa" w:w="200"/>
            </w:tcMar>
          </w:tcPr>
          <w:p>
            <w:pPr>
              <w:spacing w:before="0" w:after="0"/>
            </w:pPr>
            <w:r>
              <w:rPr>
                <w:rFonts w:ascii="Calibri" w:cs="Calibri" w:eastAsia="Calibri" w:hAnsi="Calibri"/>
                <w:b/>
                <w:bCs/>
                <w:color w:val="1B3A6B"/>
                <w:sz w:val="23"/>
                <w:szCs w:val="23"/>
              </w:rPr>
              <w:t xml:space="preserve">Article 9  —  </w:t>
            </w:r>
            <w:r>
              <w:rPr>
                <w:rFonts w:ascii="Calibri" w:cs="Calibri" w:eastAsia="Calibri" w:hAnsi="Calibri"/>
                <w:b/>
                <w:bCs/>
                <w:color w:val="C55A11"/>
                <w:sz w:val="23"/>
                <w:szCs w:val="23"/>
              </w:rPr>
              <w:t xml:space="preserve">Résiliation</w:t>
            </w:r>
          </w:p>
        </w:tc>
      </w:tr>
    </w:tbl>
    <w:p>
      <w:pPr>
        <w:spacing w:before="0" w:after="100"/>
      </w:pPr>
    </w:p>
    <w:p>
      <w:pPr>
        <w:spacing w:before="100" w:after="140"/>
      </w:pPr>
      <w:r>
        <w:rPr>
          <w:rFonts w:ascii="Calibri" w:cs="Calibri" w:eastAsia="Calibri" w:hAnsi="Calibri"/>
          <w:color w:val="2C2C2C"/>
          <w:sz w:val="21"/>
          <w:szCs w:val="21"/>
        </w:rPr>
        <w:t xml:space="preserve">Chaque Partie peut résilier le présent contrat en cas de manquement grave de l'autre Partie à ses obligations, après mise en demeure restée sans effet pendant 15 jours ouvrés.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1600"/>
        <w:gridCol w:w="1600"/>
        <w:gridCol w:w="3560"/>
      </w:tblGrid>
      <w:tr>
        <w:trPr>
          <w:tblHeader/>
        </w:trPr>
        <w:tc>
          <w:tcPr>
            <w:tcW w:type="dxa" w:w="2600"/>
            <w:tcBorders>
              <w:top w:val="single" w:color="FFFFFF" w:sz="1"/>
              <w:left w:val="single" w:color="FFFFFF" w:sz="1"/>
              <w:bottom w:val="single" w:color="FFFFFF" w:sz="1"/>
              <w:right w:val="single" w:color="FFFFFF" w:sz="1"/>
            </w:tcBorders>
            <w:shd w:fill="A93226" w:val="clear"/>
            <w:tcMar>
              <w:top w:type="dxa" w:w="80"/>
              <w:left w:type="dxa" w:w="120"/>
              <w:bottom w:type="dxa" w:w="80"/>
              <w:right w:type="dxa" w:w="120"/>
            </w:tcMar>
          </w:tcPr>
          <w:p>
            <w:pPr>
              <w:spacing w:before="0" w:after="0"/>
              <w:jc w:val="center"/>
            </w:pPr>
            <w:r>
              <w:rPr>
                <w:rFonts w:ascii="Calibri" w:cs="Calibri" w:eastAsia="Calibri" w:hAnsi="Calibri"/>
                <w:b/>
                <w:bCs/>
                <w:color w:val="FFFFFF"/>
                <w:sz w:val="19"/>
                <w:szCs w:val="19"/>
              </w:rPr>
              <w:t xml:space="preserve">CAS DE RÉSILIATION</w:t>
            </w:r>
          </w:p>
        </w:tc>
        <w:tc>
          <w:tcPr>
            <w:tcW w:type="dxa" w:w="1600"/>
            <w:tcBorders>
              <w:top w:val="single" w:color="FFFFFF" w:sz="1"/>
              <w:left w:val="single" w:color="FFFFFF" w:sz="1"/>
              <w:bottom w:val="single" w:color="FFFFFF" w:sz="1"/>
              <w:right w:val="single" w:color="FFFFFF" w:sz="1"/>
            </w:tcBorders>
            <w:shd w:fill="A93226" w:val="clear"/>
            <w:tcMar>
              <w:top w:type="dxa" w:w="80"/>
              <w:left w:type="dxa" w:w="120"/>
              <w:bottom w:type="dxa" w:w="80"/>
              <w:right w:type="dxa" w:w="120"/>
            </w:tcMar>
          </w:tcPr>
          <w:p>
            <w:pPr>
              <w:spacing w:before="0" w:after="0"/>
              <w:jc w:val="center"/>
            </w:pPr>
            <w:r>
              <w:rPr>
                <w:rFonts w:ascii="Calibri" w:cs="Calibri" w:eastAsia="Calibri" w:hAnsi="Calibri"/>
                <w:b/>
                <w:bCs/>
                <w:color w:val="FFFFFF"/>
                <w:sz w:val="19"/>
                <w:szCs w:val="19"/>
              </w:rPr>
              <w:t xml:space="preserve">INITIATIVE</w:t>
            </w:r>
          </w:p>
        </w:tc>
        <w:tc>
          <w:tcPr>
            <w:tcW w:type="dxa" w:w="1600"/>
            <w:tcBorders>
              <w:top w:val="single" w:color="FFFFFF" w:sz="1"/>
              <w:left w:val="single" w:color="FFFFFF" w:sz="1"/>
              <w:bottom w:val="single" w:color="FFFFFF" w:sz="1"/>
              <w:right w:val="single" w:color="FFFFFF" w:sz="1"/>
            </w:tcBorders>
            <w:shd w:fill="A93226" w:val="clear"/>
            <w:tcMar>
              <w:top w:type="dxa" w:w="80"/>
              <w:left w:type="dxa" w:w="120"/>
              <w:bottom w:type="dxa" w:w="80"/>
              <w:right w:type="dxa" w:w="120"/>
            </w:tcMar>
          </w:tcPr>
          <w:p>
            <w:pPr>
              <w:spacing w:before="0" w:after="0"/>
              <w:jc w:val="center"/>
            </w:pPr>
            <w:r>
              <w:rPr>
                <w:rFonts w:ascii="Calibri" w:cs="Calibri" w:eastAsia="Calibri" w:hAnsi="Calibri"/>
                <w:b/>
                <w:bCs/>
                <w:color w:val="FFFFFF"/>
                <w:sz w:val="19"/>
                <w:szCs w:val="19"/>
              </w:rPr>
              <w:t xml:space="preserve">DÉLAI DE PRÉAVIS</w:t>
            </w:r>
          </w:p>
        </w:tc>
        <w:tc>
          <w:tcPr>
            <w:tcW w:type="dxa" w:w="3560"/>
            <w:tcBorders>
              <w:top w:val="single" w:color="FFFFFF" w:sz="1"/>
              <w:left w:val="single" w:color="FFFFFF" w:sz="1"/>
              <w:bottom w:val="single" w:color="FFFFFF" w:sz="1"/>
              <w:right w:val="single" w:color="FFFFFF" w:sz="1"/>
            </w:tcBorders>
            <w:shd w:fill="A93226" w:val="clear"/>
            <w:tcMar>
              <w:top w:type="dxa" w:w="80"/>
              <w:left w:type="dxa" w:w="120"/>
              <w:bottom w:type="dxa" w:w="80"/>
              <w:right w:type="dxa" w:w="120"/>
            </w:tcMar>
          </w:tcPr>
          <w:p>
            <w:pPr>
              <w:spacing w:before="0" w:after="0"/>
              <w:jc w:val="center"/>
            </w:pPr>
            <w:r>
              <w:rPr>
                <w:rFonts w:ascii="Calibri" w:cs="Calibri" w:eastAsia="Calibri" w:hAnsi="Calibri"/>
                <w:b/>
                <w:bCs/>
                <w:color w:val="FFFFFF"/>
                <w:sz w:val="19"/>
                <w:szCs w:val="19"/>
              </w:rPr>
              <w:t xml:space="preserve">INDEMNITÉS DUES</w:t>
            </w:r>
          </w:p>
        </w:tc>
      </w:tr>
      <w:tr>
        <w:tc>
          <w:tcPr>
            <w:tcW w:type="dxa" w:w="2600"/>
            <w:tcBorders>
              <w:top w:val="single" w:color="CCCCCC" w:sz="1"/>
              <w:left w:val="single" w:color="CCCCCC" w:sz="1"/>
              <w:bottom w:val="single" w:color="CCCCCC" w:sz="1"/>
              <w:right w:val="single" w:color="CCCCCC" w:sz="1"/>
            </w:tcBorders>
            <w:shd w:fill="EBF3FB"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Résiliation à l'initiative du Client (sans faute Prestataire)</w:t>
            </w:r>
          </w:p>
        </w:tc>
        <w:tc>
          <w:tcPr>
            <w:tcW w:type="dxa" w:w="1600"/>
            <w:tcBorders>
              <w:top w:val="single" w:color="CCCCCC" w:sz="1"/>
              <w:left w:val="single" w:color="CCCCCC" w:sz="1"/>
              <w:bottom w:val="single" w:color="CCCCCC" w:sz="1"/>
              <w:right w:val="single" w:color="CCCCCC" w:sz="1"/>
            </w:tcBorders>
            <w:shd w:fill="EBF3FB"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Client</w:t>
            </w:r>
          </w:p>
        </w:tc>
        <w:tc>
          <w:tcPr>
            <w:tcW w:type="dxa" w:w="1600"/>
            <w:tcBorders>
              <w:top w:val="single" w:color="CCCCCC" w:sz="1"/>
              <w:left w:val="single" w:color="CCCCCC" w:sz="1"/>
              <w:bottom w:val="single" w:color="CCCCCC" w:sz="1"/>
              <w:right w:val="single" w:color="CCCCCC" w:sz="1"/>
            </w:tcBorders>
            <w:shd w:fill="EBF3FB"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30 jours</w:t>
            </w:r>
          </w:p>
        </w:tc>
        <w:tc>
          <w:tcPr>
            <w:tcW w:type="dxa" w:w="3560"/>
            <w:tcBorders>
              <w:top w:val="single" w:color="CCCCCC" w:sz="1"/>
              <w:left w:val="single" w:color="CCCCCC" w:sz="1"/>
              <w:bottom w:val="single" w:color="CCCCCC" w:sz="1"/>
              <w:right w:val="single" w:color="CCCCCC" w:sz="1"/>
            </w:tcBorders>
            <w:shd w:fill="EBF3FB"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Honoraires des phases complétées + 20% du solde restant</w:t>
            </w:r>
          </w:p>
        </w:tc>
      </w:tr>
      <w:tr>
        <w:tc>
          <w:tcPr>
            <w:tcW w:type="dxa" w:w="2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Résiliation à l'initiative du Client (faute grave Prestataire prouvée)</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Client</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Immédiate</w:t>
            </w:r>
          </w:p>
        </w:tc>
        <w:tc>
          <w:tcPr>
            <w:tcW w:type="dxa" w:w="35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Honoraires des phases complétées uniquement</w:t>
            </w:r>
          </w:p>
        </w:tc>
      </w:tr>
      <w:tr>
        <w:tc>
          <w:tcPr>
            <w:tcW w:type="dxa" w:w="2600"/>
            <w:tcBorders>
              <w:top w:val="single" w:color="CCCCCC" w:sz="1"/>
              <w:left w:val="single" w:color="CCCCCC" w:sz="1"/>
              <w:bottom w:val="single" w:color="CCCCCC" w:sz="1"/>
              <w:right w:val="single" w:color="CCCCCC" w:sz="1"/>
            </w:tcBorders>
            <w:shd w:fill="EBF3FB"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Résiliation à l'initiative du Prestataire (faute Client — non-paiement)</w:t>
            </w:r>
          </w:p>
        </w:tc>
        <w:tc>
          <w:tcPr>
            <w:tcW w:type="dxa" w:w="1600"/>
            <w:tcBorders>
              <w:top w:val="single" w:color="CCCCCC" w:sz="1"/>
              <w:left w:val="single" w:color="CCCCCC" w:sz="1"/>
              <w:bottom w:val="single" w:color="CCCCCC" w:sz="1"/>
              <w:right w:val="single" w:color="CCCCCC" w:sz="1"/>
            </w:tcBorders>
            <w:shd w:fill="EBF3FB"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Prestataire</w:t>
            </w:r>
          </w:p>
        </w:tc>
        <w:tc>
          <w:tcPr>
            <w:tcW w:type="dxa" w:w="1600"/>
            <w:tcBorders>
              <w:top w:val="single" w:color="CCCCCC" w:sz="1"/>
              <w:left w:val="single" w:color="CCCCCC" w:sz="1"/>
              <w:bottom w:val="single" w:color="CCCCCC" w:sz="1"/>
              <w:right w:val="single" w:color="CCCCCC" w:sz="1"/>
            </w:tcBorders>
            <w:shd w:fill="EBF3FB"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15 jours après mise en demeure</w:t>
            </w:r>
          </w:p>
        </w:tc>
        <w:tc>
          <w:tcPr>
            <w:tcW w:type="dxa" w:w="3560"/>
            <w:tcBorders>
              <w:top w:val="single" w:color="CCCCCC" w:sz="1"/>
              <w:left w:val="single" w:color="CCCCCC" w:sz="1"/>
              <w:bottom w:val="single" w:color="CCCCCC" w:sz="1"/>
              <w:right w:val="single" w:color="CCCCCC" w:sz="1"/>
            </w:tcBorders>
            <w:shd w:fill="EBF3FB"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Honoraires des phases complétées + pénalités de retard</w:t>
            </w:r>
          </w:p>
        </w:tc>
      </w:tr>
      <w:tr>
        <w:tc>
          <w:tcPr>
            <w:tcW w:type="dxa" w:w="2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Résiliation à l'initiative du Prestataire (non-disponibilité ressources)</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Prestataire</w:t>
            </w:r>
          </w:p>
        </w:tc>
        <w:tc>
          <w:tcPr>
            <w:tcW w:type="dxa" w:w="1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30 jours</w:t>
            </w:r>
          </w:p>
        </w:tc>
        <w:tc>
          <w:tcPr>
            <w:tcW w:type="dxa" w:w="35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Honoraires des phases complétées</w:t>
            </w:r>
          </w:p>
        </w:tc>
      </w:tr>
      <w:tr>
        <w:tc>
          <w:tcPr>
            <w:tcW w:type="dxa" w:w="2600"/>
            <w:tcBorders>
              <w:top w:val="single" w:color="CCCCCC" w:sz="1"/>
              <w:left w:val="single" w:color="CCCCCC" w:sz="1"/>
              <w:bottom w:val="single" w:color="CCCCCC" w:sz="1"/>
              <w:right w:val="single" w:color="CCCCCC" w:sz="1"/>
            </w:tcBorders>
            <w:shd w:fill="EBF3FB"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Résiliation d'un commun accord</w:t>
            </w:r>
          </w:p>
        </w:tc>
        <w:tc>
          <w:tcPr>
            <w:tcW w:type="dxa" w:w="1600"/>
            <w:tcBorders>
              <w:top w:val="single" w:color="CCCCCC" w:sz="1"/>
              <w:left w:val="single" w:color="CCCCCC" w:sz="1"/>
              <w:bottom w:val="single" w:color="CCCCCC" w:sz="1"/>
              <w:right w:val="single" w:color="CCCCCC" w:sz="1"/>
            </w:tcBorders>
            <w:shd w:fill="EBF3FB"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Les deux parties</w:t>
            </w:r>
          </w:p>
        </w:tc>
        <w:tc>
          <w:tcPr>
            <w:tcW w:type="dxa" w:w="1600"/>
            <w:tcBorders>
              <w:top w:val="single" w:color="CCCCCC" w:sz="1"/>
              <w:left w:val="single" w:color="CCCCCC" w:sz="1"/>
              <w:bottom w:val="single" w:color="CCCCCC" w:sz="1"/>
              <w:right w:val="single" w:color="CCCCCC" w:sz="1"/>
            </w:tcBorders>
            <w:shd w:fill="EBF3FB"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À convenir</w:t>
            </w:r>
          </w:p>
        </w:tc>
        <w:tc>
          <w:tcPr>
            <w:tcW w:type="dxa" w:w="3560"/>
            <w:tcBorders>
              <w:top w:val="single" w:color="CCCCCC" w:sz="1"/>
              <w:left w:val="single" w:color="CCCCCC" w:sz="1"/>
              <w:bottom w:val="single" w:color="CCCCCC" w:sz="1"/>
              <w:right w:val="single" w:color="CCCCCC" w:sz="1"/>
            </w:tcBorders>
            <w:shd w:fill="EBF3FB"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Selon avenant de clôture négocié</w:t>
            </w:r>
          </w:p>
        </w:tc>
      </w:tr>
    </w:tbl>
    <w:p>
      <w:pPr>
        <w:spacing w:before="0" w:after="80"/>
      </w:pPr>
    </w:p>
    <w:p>
      <w:pPr>
        <w:spacing w:before="100" w:after="140"/>
      </w:pPr>
      <w:r>
        <w:rPr>
          <w:rFonts w:ascii="Calibri" w:cs="Calibri" w:eastAsia="Calibri" w:hAnsi="Calibri"/>
          <w:color w:val="2C2C2C"/>
          <w:sz w:val="21"/>
          <w:szCs w:val="21"/>
        </w:rPr>
        <w:t xml:space="preserve">En cas de résiliation, le Prestataire remet au Client l'ensemble des livrables complétés à la date d'effet de la résiliation, ainsi qu'une note de transfert documentant l'état d'avancement de la mission.</w:t>
      </w:r>
    </w:p>
    <w:p>
      <w:pPr>
        <w:spacing w:before="0" w:after="1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1B3A6B" w:sz="16"/>
              <w:bottom w:val="single" w:color="1B3A6B" w:sz="4"/>
              <w:right w:val="none" w:color="FFFFFF" w:sz="0"/>
            </w:tcBorders>
            <w:shd w:fill="EBF3FB" w:val="clear"/>
            <w:tcMar>
              <w:top w:type="dxa" w:w="120"/>
              <w:left w:type="dxa" w:w="200"/>
              <w:bottom w:type="dxa" w:w="120"/>
              <w:right w:type="dxa" w:w="200"/>
            </w:tcMar>
          </w:tcPr>
          <w:p>
            <w:pPr>
              <w:spacing w:before="0" w:after="0"/>
            </w:pPr>
            <w:r>
              <w:rPr>
                <w:rFonts w:ascii="Calibri" w:cs="Calibri" w:eastAsia="Calibri" w:hAnsi="Calibri"/>
                <w:b/>
                <w:bCs/>
                <w:color w:val="1B3A6B"/>
                <w:sz w:val="23"/>
                <w:szCs w:val="23"/>
              </w:rPr>
              <w:t xml:space="preserve">Article 10  —  </w:t>
            </w:r>
            <w:r>
              <w:rPr>
                <w:rFonts w:ascii="Calibri" w:cs="Calibri" w:eastAsia="Calibri" w:hAnsi="Calibri"/>
                <w:b/>
                <w:bCs/>
                <w:color w:val="C55A11"/>
                <w:sz w:val="23"/>
                <w:szCs w:val="23"/>
              </w:rPr>
              <w:t xml:space="preserve">Confidentialité et Protection des Données</w:t>
            </w:r>
          </w:p>
        </w:tc>
      </w:tr>
    </w:tbl>
    <w:p>
      <w:pPr>
        <w:spacing w:before="0" w:after="100"/>
      </w:pPr>
    </w:p>
    <w:p>
      <w:pPr>
        <w:spacing w:before="100" w:after="140"/>
      </w:pPr>
      <w:r>
        <w:rPr>
          <w:rFonts w:ascii="Calibri" w:cs="Calibri" w:eastAsia="Calibri" w:hAnsi="Calibri"/>
          <w:color w:val="2C2C2C"/>
          <w:sz w:val="21"/>
          <w:szCs w:val="21"/>
        </w:rPr>
        <w:t xml:space="preserve">Chaque Partie s'engage à traiter comme confidentielles toutes les informations, documents et données auxquels elle a accès dans le cadre de la mission, et ce pendant une durée de 5 ans après la fin du contrat.</w:t>
      </w:r>
    </w:p>
    <w:p>
      <w:pPr>
        <w:spacing w:before="100" w:after="140"/>
      </w:pPr>
      <w:r>
        <w:rPr>
          <w:rFonts w:ascii="Calibri" w:cs="Calibri" w:eastAsia="Calibri" w:hAnsi="Calibri"/>
          <w:color w:val="2C2C2C"/>
          <w:sz w:val="21"/>
          <w:szCs w:val="21"/>
        </w:rPr>
        <w:t xml:space="preserve">Sont notamment considérées comme confidentielles : les données de production, les coûts, les taux de rebut, les données RH, les informations clients du Client, les méthodes propriétaires du Prestataire.</w:t>
      </w:r>
    </w:p>
    <w:p>
      <w:pPr>
        <w:spacing w:before="100" w:after="140"/>
      </w:pPr>
      <w:r>
        <w:rPr>
          <w:rFonts w:ascii="Calibri" w:cs="Calibri" w:eastAsia="Calibri" w:hAnsi="Calibri"/>
          <w:color w:val="2C2C2C"/>
          <w:sz w:val="21"/>
          <w:szCs w:val="21"/>
        </w:rPr>
        <w:t xml:space="preserve">Le Prestataire peut mentionner la mission (secteur, périmètre générique, résultats agrégés anonymisés) dans ses références commerciales, sauf opposition formelle écrite du Client dans les 30 jours suivant la fin de mission.</w:t>
      </w:r>
    </w:p>
    <w:p>
      <w:pPr>
        <w:spacing w:before="100" w:after="140"/>
      </w:pPr>
      <w:r>
        <w:rPr>
          <w:rFonts w:ascii="Calibri" w:cs="Calibri" w:eastAsia="Calibri" w:hAnsi="Calibri"/>
          <w:color w:val="2C2C2C"/>
          <w:sz w:val="21"/>
          <w:szCs w:val="21"/>
        </w:rPr>
        <w:t xml:space="preserve">En matière de protection des données personnelles (RGPD), le Prestataire agit en qualité de sous-traitant des données personnelles éventuellement transmises. Il s'engage à ne les utiliser qu'aux seules fins de la mission et à les restituer ou les détruire à la fin du contrat.</w:t>
      </w:r>
    </w:p>
    <w:p>
      <w:pPr>
        <w:spacing w:before="0" w:after="1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1B3A6B" w:sz="16"/>
              <w:bottom w:val="single" w:color="1B3A6B" w:sz="4"/>
              <w:right w:val="none" w:color="FFFFFF" w:sz="0"/>
            </w:tcBorders>
            <w:shd w:fill="EBF3FB" w:val="clear"/>
            <w:tcMar>
              <w:top w:type="dxa" w:w="120"/>
              <w:left w:type="dxa" w:w="200"/>
              <w:bottom w:type="dxa" w:w="120"/>
              <w:right w:type="dxa" w:w="200"/>
            </w:tcMar>
          </w:tcPr>
          <w:p>
            <w:pPr>
              <w:spacing w:before="0" w:after="0"/>
            </w:pPr>
            <w:r>
              <w:rPr>
                <w:rFonts w:ascii="Calibri" w:cs="Calibri" w:eastAsia="Calibri" w:hAnsi="Calibri"/>
                <w:b/>
                <w:bCs/>
                <w:color w:val="1B3A6B"/>
                <w:sz w:val="23"/>
                <w:szCs w:val="23"/>
              </w:rPr>
              <w:t xml:space="preserve">Article 11  —  </w:t>
            </w:r>
            <w:r>
              <w:rPr>
                <w:rFonts w:ascii="Calibri" w:cs="Calibri" w:eastAsia="Calibri" w:hAnsi="Calibri"/>
                <w:b/>
                <w:bCs/>
                <w:color w:val="C55A11"/>
                <w:sz w:val="23"/>
                <w:szCs w:val="23"/>
              </w:rPr>
              <w:t xml:space="preserve">Non-Concurrence et Non-Sollicitation</w:t>
            </w:r>
          </w:p>
        </w:tc>
      </w:tr>
    </w:tbl>
    <w:p>
      <w:pPr>
        <w:spacing w:before="0" w:after="100"/>
      </w:pPr>
    </w:p>
    <w:p>
      <w:pPr>
        <w:spacing w:before="100" w:after="140"/>
      </w:pPr>
      <w:r>
        <w:rPr>
          <w:rFonts w:ascii="Calibri" w:cs="Calibri" w:eastAsia="Calibri" w:hAnsi="Calibri"/>
          <w:color w:val="2C2C2C"/>
          <w:sz w:val="21"/>
          <w:szCs w:val="21"/>
        </w:rPr>
        <w:t xml:space="preserve">[OPTION — À INCLURE SI SOUHAITÉ PAR LES DEUX PARTIES]</w:t>
      </w:r>
    </w:p>
    <w:p>
      <w:pPr>
        <w:spacing w:before="100" w:after="140"/>
      </w:pPr>
      <w:r>
        <w:rPr>
          <w:rFonts w:ascii="Calibri" w:cs="Calibri" w:eastAsia="Calibri" w:hAnsi="Calibri"/>
          <w:color w:val="2C2C2C"/>
          <w:sz w:val="21"/>
          <w:szCs w:val="21"/>
        </w:rPr>
        <w:t xml:space="preserve">Pendant la durée de la mission et durant [12 / 24] mois après sa fin, le Prestataire s'interdit de travailler directement pour les concurrents directs du Client listés en Annexe C.</w:t>
      </w:r>
    </w:p>
    <w:p>
      <w:pPr>
        <w:spacing w:before="100" w:after="140"/>
      </w:pPr>
      <w:r>
        <w:rPr>
          <w:rFonts w:ascii="Calibri" w:cs="Calibri" w:eastAsia="Calibri" w:hAnsi="Calibri"/>
          <w:color w:val="2C2C2C"/>
          <w:sz w:val="21"/>
          <w:szCs w:val="21"/>
        </w:rPr>
        <w:t xml:space="preserve">Pendant la durée de la mission et durant 24 mois après sa fin, le Client s'interdit de solliciter directement ou indirectement les consultants ayant participé à la mission en vue de les employer ou de les engager en dehors du cadre du présent contrat.</w:t>
      </w:r>
    </w:p>
    <w:p>
      <w:pPr>
        <w:spacing w:before="0" w:after="1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1B3A6B" w:sz="16"/>
              <w:bottom w:val="single" w:color="1B3A6B" w:sz="4"/>
              <w:right w:val="none" w:color="FFFFFF" w:sz="0"/>
            </w:tcBorders>
            <w:shd w:fill="EBF3FB" w:val="clear"/>
            <w:tcMar>
              <w:top w:type="dxa" w:w="120"/>
              <w:left w:type="dxa" w:w="200"/>
              <w:bottom w:type="dxa" w:w="120"/>
              <w:right w:type="dxa" w:w="200"/>
            </w:tcMar>
          </w:tcPr>
          <w:p>
            <w:pPr>
              <w:spacing w:before="0" w:after="0"/>
            </w:pPr>
            <w:r>
              <w:rPr>
                <w:rFonts w:ascii="Calibri" w:cs="Calibri" w:eastAsia="Calibri" w:hAnsi="Calibri"/>
                <w:b/>
                <w:bCs/>
                <w:color w:val="1B3A6B"/>
                <w:sz w:val="23"/>
                <w:szCs w:val="23"/>
              </w:rPr>
              <w:t xml:space="preserve">Article 12  —  </w:t>
            </w:r>
            <w:r>
              <w:rPr>
                <w:rFonts w:ascii="Calibri" w:cs="Calibri" w:eastAsia="Calibri" w:hAnsi="Calibri"/>
                <w:b/>
                <w:bCs/>
                <w:color w:val="C55A11"/>
                <w:sz w:val="23"/>
                <w:szCs w:val="23"/>
              </w:rPr>
              <w:t xml:space="preserve">Clause de Pérennité des Gains</w:t>
            </w:r>
          </w:p>
        </w:tc>
      </w:tr>
    </w:tbl>
    <w:p>
      <w:pPr>
        <w:spacing w:before="0" w:after="100"/>
      </w:pPr>
    </w:p>
    <w:p>
      <w:pPr>
        <w:spacing w:before="100" w:after="140"/>
      </w:pPr>
      <w:r>
        <w:rPr>
          <w:rFonts w:ascii="Calibri" w:cs="Calibri" w:eastAsia="Calibri" w:hAnsi="Calibri"/>
          <w:color w:val="2C2C2C"/>
          <w:sz w:val="21"/>
          <w:szCs w:val="21"/>
        </w:rPr>
        <w:t xml:space="preserve">Le Prestataire s'engage à concevoir des solutions durables et à transférer les compétences nécessaires aux équipes du Client pour maintenir les gains obtenus après la fin de la mission.</w:t>
      </w:r>
    </w:p>
    <w:p>
      <w:pPr>
        <w:spacing w:before="100" w:after="140"/>
      </w:pPr>
      <w:r>
        <w:rPr>
          <w:rFonts w:ascii="Calibri" w:cs="Calibri" w:eastAsia="Calibri" w:hAnsi="Calibri"/>
          <w:color w:val="2C2C2C"/>
          <w:sz w:val="21"/>
          <w:szCs w:val="21"/>
        </w:rPr>
        <w:t xml:space="preserve">Les revues post-mission (J+30, J+60, J+90) incluses dans la proposition (Annexe B) ont pour objectif de vérifier la pérennité des gains et d'apporter les ajustements nécessaires.</w:t>
      </w:r>
    </w:p>
    <w:p>
      <w:pPr>
        <w:spacing w:before="100" w:after="140"/>
      </w:pPr>
      <w:r>
        <w:rPr>
          <w:rFonts w:ascii="Calibri" w:cs="Calibri" w:eastAsia="Calibri" w:hAnsi="Calibri"/>
          <w:color w:val="2C2C2C"/>
          <w:sz w:val="21"/>
          <w:szCs w:val="21"/>
        </w:rPr>
        <w:t xml:space="preserve">Si les KPI mesurés à J+90 montrent une dégradation supérieure à [20%] des gains obtenus, les Parties conviennent de se réunir dans les 15 jours pour définir un plan correctif, sans surcoût pour le Client, dans la limite de [2 jours] d'intervention.</w:t>
      </w:r>
    </w:p>
    <w:p>
      <w:pPr>
        <w:spacing w:before="0" w:after="1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1B3A6B" w:sz="16"/>
              <w:bottom w:val="single" w:color="1B3A6B" w:sz="4"/>
              <w:right w:val="none" w:color="FFFFFF" w:sz="0"/>
            </w:tcBorders>
            <w:shd w:fill="EBF3FB" w:val="clear"/>
            <w:tcMar>
              <w:top w:type="dxa" w:w="120"/>
              <w:left w:type="dxa" w:w="200"/>
              <w:bottom w:type="dxa" w:w="120"/>
              <w:right w:type="dxa" w:w="200"/>
            </w:tcMar>
          </w:tcPr>
          <w:p>
            <w:pPr>
              <w:spacing w:before="0" w:after="0"/>
            </w:pPr>
            <w:r>
              <w:rPr>
                <w:rFonts w:ascii="Calibri" w:cs="Calibri" w:eastAsia="Calibri" w:hAnsi="Calibri"/>
                <w:b/>
                <w:bCs/>
                <w:color w:val="1B3A6B"/>
                <w:sz w:val="23"/>
                <w:szCs w:val="23"/>
              </w:rPr>
              <w:t xml:space="preserve">Article 13  —  </w:t>
            </w:r>
            <w:r>
              <w:rPr>
                <w:rFonts w:ascii="Calibri" w:cs="Calibri" w:eastAsia="Calibri" w:hAnsi="Calibri"/>
                <w:b/>
                <w:bCs/>
                <w:color w:val="C55A11"/>
                <w:sz w:val="23"/>
                <w:szCs w:val="23"/>
              </w:rPr>
              <w:t xml:space="preserve">Avenant et Modification du Périmètre</w:t>
            </w:r>
          </w:p>
        </w:tc>
      </w:tr>
    </w:tbl>
    <w:p>
      <w:pPr>
        <w:spacing w:before="0" w:after="100"/>
      </w:pPr>
    </w:p>
    <w:p>
      <w:pPr>
        <w:spacing w:before="100" w:after="140"/>
      </w:pPr>
      <w:r>
        <w:rPr>
          <w:rFonts w:ascii="Calibri" w:cs="Calibri" w:eastAsia="Calibri" w:hAnsi="Calibri"/>
          <w:color w:val="2C2C2C"/>
          <w:sz w:val="21"/>
          <w:szCs w:val="21"/>
        </w:rPr>
        <w:t xml:space="preserve">Toute modification du périmètre de la mission, des objectifs, des livrables ou des délais convenus dans le Project Charter doit faire l'objet d'un avenant écrit, signé par les deux Parties, avant toute mise en œuvre.</w:t>
      </w:r>
    </w:p>
    <w:p>
      <w:pPr>
        <w:spacing w:before="100" w:after="140"/>
      </w:pPr>
      <w:r>
        <w:rPr>
          <w:rFonts w:ascii="Calibri" w:cs="Calibri" w:eastAsia="Calibri" w:hAnsi="Calibri"/>
          <w:color w:val="2C2C2C"/>
          <w:sz w:val="21"/>
          <w:szCs w:val="21"/>
        </w:rPr>
        <w:t xml:space="preserve">L'avenant précise la nature des modifications, leur impact sur le planning, les honoraires supplémentaires éventuels et les nouvelles obligations des Parties.</w:t>
      </w:r>
    </w:p>
    <w:p>
      <w:pPr>
        <w:spacing w:before="100" w:after="140"/>
      </w:pPr>
      <w:r>
        <w:rPr>
          <w:rFonts w:ascii="Calibri" w:cs="Calibri" w:eastAsia="Calibri" w:hAnsi="Calibri"/>
          <w:color w:val="2C2C2C"/>
          <w:sz w:val="21"/>
          <w:szCs w:val="21"/>
        </w:rPr>
        <w:t xml:space="preserve">Aucune modification verbale, même acceptée lors d'une réunion de COPIL, ne peut se substituer à un avenant formalisé.</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55A11" w:sz="4"/>
              <w:left w:val="single" w:color="C55A11" w:sz="16"/>
              <w:bottom w:val="single" w:color="C55A11" w:sz="4"/>
              <w:right w:val="none" w:color="FFFFFF" w:sz="0"/>
            </w:tcBorders>
            <w:shd w:fill="FCE4D6" w:val="clear"/>
            <w:tcMar>
              <w:top w:type="dxa" w:w="140"/>
              <w:left w:type="dxa" w:w="220"/>
              <w:bottom w:type="dxa" w:w="140"/>
              <w:right w:type="dxa" w:w="200"/>
            </w:tcMar>
          </w:tcPr>
          <w:p>
            <w:pPr>
              <w:spacing w:before="0" w:after="80"/>
            </w:pPr>
            <w:r>
              <w:rPr>
                <w:rFonts w:ascii="Calibri" w:cs="Calibri" w:eastAsia="Calibri" w:hAnsi="Calibri"/>
                <w:b/>
                <w:bCs/>
                <w:color w:val="C55A11"/>
                <w:sz w:val="21"/>
                <w:szCs w:val="21"/>
              </w:rPr>
              <w:t xml:space="preserve">⚠  Clause anti-scope creep</w:t>
            </w:r>
          </w:p>
          <w:p>
            <w:pPr>
              <w:pStyle w:val="ListParagraph"/>
              <w:numPr>
                <w:ilvl w:val="0"/>
                <w:numId w:val="2"/>
              </w:numPr>
              <w:spacing w:before="30" w:after="30"/>
            </w:pPr>
            <w:r>
              <w:rPr>
                <w:rFonts w:ascii="Calibri" w:cs="Calibri" w:eastAsia="Calibri" w:hAnsi="Calibri"/>
                <w:color w:val="2C2C2C"/>
                <w:sz w:val="20"/>
                <w:szCs w:val="20"/>
              </w:rPr>
              <w:t xml:space="preserve">Le Client s'engage à ne pas demander au Prestataire de réaliser des tâches hors périmètre sans avenant préalable.</w:t>
            </w:r>
          </w:p>
          <w:p>
            <w:pPr>
              <w:pStyle w:val="ListParagraph"/>
              <w:numPr>
                <w:ilvl w:val="0"/>
                <w:numId w:val="2"/>
              </w:numPr>
              <w:spacing w:before="30" w:after="30"/>
            </w:pPr>
            <w:r>
              <w:rPr>
                <w:rFonts w:ascii="Calibri" w:cs="Calibri" w:eastAsia="Calibri" w:hAnsi="Calibri"/>
                <w:color w:val="2C2C2C"/>
                <w:sz w:val="20"/>
                <w:szCs w:val="20"/>
              </w:rPr>
              <w:t xml:space="preserve">Si le Client formule des demandes hors périmètre, le Prestataire a le droit et le devoir de refuser jusqu'à signature de l'avenant correspondant.</w:t>
            </w:r>
          </w:p>
          <w:p>
            <w:pPr>
              <w:pStyle w:val="ListParagraph"/>
              <w:numPr>
                <w:ilvl w:val="0"/>
                <w:numId w:val="2"/>
              </w:numPr>
              <w:spacing w:before="30" w:after="30"/>
            </w:pPr>
            <w:r>
              <w:rPr>
                <w:rFonts w:ascii="Calibri" w:cs="Calibri" w:eastAsia="Calibri" w:hAnsi="Calibri"/>
                <w:color w:val="2C2C2C"/>
                <w:sz w:val="20"/>
                <w:szCs w:val="20"/>
              </w:rPr>
              <w:t xml:space="preserve">Tarif des avenants : [_____] € HT / jour, sauf accord spécifique.</w:t>
            </w:r>
          </w:p>
        </w:tc>
      </w:tr>
    </w:tbl>
    <w:p>
      <w:pPr>
        <w:spacing w:before="0" w:after="1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1B3A6B" w:sz="16"/>
              <w:bottom w:val="single" w:color="1B3A6B" w:sz="4"/>
              <w:right w:val="none" w:color="FFFFFF" w:sz="0"/>
            </w:tcBorders>
            <w:shd w:fill="EBF3FB" w:val="clear"/>
            <w:tcMar>
              <w:top w:type="dxa" w:w="120"/>
              <w:left w:type="dxa" w:w="200"/>
              <w:bottom w:type="dxa" w:w="120"/>
              <w:right w:type="dxa" w:w="200"/>
            </w:tcMar>
          </w:tcPr>
          <w:p>
            <w:pPr>
              <w:spacing w:before="0" w:after="0"/>
            </w:pPr>
            <w:r>
              <w:rPr>
                <w:rFonts w:ascii="Calibri" w:cs="Calibri" w:eastAsia="Calibri" w:hAnsi="Calibri"/>
                <w:b/>
                <w:bCs/>
                <w:color w:val="1B3A6B"/>
                <w:sz w:val="23"/>
                <w:szCs w:val="23"/>
              </w:rPr>
              <w:t xml:space="preserve">Article 14  —  </w:t>
            </w:r>
            <w:r>
              <w:rPr>
                <w:rFonts w:ascii="Calibri" w:cs="Calibri" w:eastAsia="Calibri" w:hAnsi="Calibri"/>
                <w:b/>
                <w:bCs/>
                <w:color w:val="C55A11"/>
                <w:sz w:val="23"/>
                <w:szCs w:val="23"/>
              </w:rPr>
              <w:t xml:space="preserve">Droit Applicable et Règlement des Litiges</w:t>
            </w:r>
          </w:p>
        </w:tc>
      </w:tr>
    </w:tbl>
    <w:p>
      <w:pPr>
        <w:spacing w:before="0" w:after="100"/>
      </w:pPr>
    </w:p>
    <w:p>
      <w:pPr>
        <w:spacing w:before="100" w:after="140"/>
      </w:pPr>
      <w:r>
        <w:rPr>
          <w:rFonts w:ascii="Calibri" w:cs="Calibri" w:eastAsia="Calibri" w:hAnsi="Calibri"/>
          <w:color w:val="2C2C2C"/>
          <w:sz w:val="21"/>
          <w:szCs w:val="21"/>
        </w:rPr>
        <w:t xml:space="preserve">Le présent contrat est régi et interprété conformément au droit français.</w:t>
      </w:r>
    </w:p>
    <w:p>
      <w:pPr>
        <w:spacing w:before="100" w:after="140"/>
      </w:pPr>
      <w:r>
        <w:rPr>
          <w:rFonts w:ascii="Calibri" w:cs="Calibri" w:eastAsia="Calibri" w:hAnsi="Calibri"/>
          <w:color w:val="2C2C2C"/>
          <w:sz w:val="21"/>
          <w:szCs w:val="21"/>
        </w:rPr>
        <w:t xml:space="preserve">En cas de litige relatif à l'interprétation ou à l'exécution du présent contrat, les Parties s'engagent à rechercher une solution amiable dans un délai de 30 jours à compter de la notification du litige par lettre recommandée avec accusé de réception.</w:t>
      </w:r>
    </w:p>
    <w:p>
      <w:pPr>
        <w:spacing w:before="100" w:after="140"/>
      </w:pPr>
      <w:r>
        <w:rPr>
          <w:rFonts w:ascii="Calibri" w:cs="Calibri" w:eastAsia="Calibri" w:hAnsi="Calibri"/>
          <w:color w:val="2C2C2C"/>
          <w:sz w:val="21"/>
          <w:szCs w:val="21"/>
        </w:rPr>
        <w:t xml:space="preserve">À défaut d'accord amiable, et après tentative obligatoire de médiation (CMAP ou médiateur agréé), le litige sera soumis à la compétence exclusive du Tribunal de Commerce de [VILLE DU SIÈGE DU PRESTATAIRE].</w:t>
      </w:r>
    </w:p>
    <w:p>
      <w:pPr>
        <w:spacing w:before="0" w:after="1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1B3A6B" w:sz="16"/>
              <w:bottom w:val="single" w:color="1B3A6B" w:sz="4"/>
              <w:right w:val="none" w:color="FFFFFF" w:sz="0"/>
            </w:tcBorders>
            <w:shd w:fill="EBF3FB" w:val="clear"/>
            <w:tcMar>
              <w:top w:type="dxa" w:w="120"/>
              <w:left w:type="dxa" w:w="200"/>
              <w:bottom w:type="dxa" w:w="120"/>
              <w:right w:type="dxa" w:w="200"/>
            </w:tcMar>
          </w:tcPr>
          <w:p>
            <w:pPr>
              <w:spacing w:before="0" w:after="0"/>
            </w:pPr>
            <w:r>
              <w:rPr>
                <w:rFonts w:ascii="Calibri" w:cs="Calibri" w:eastAsia="Calibri" w:hAnsi="Calibri"/>
                <w:b/>
                <w:bCs/>
                <w:color w:val="1B3A6B"/>
                <w:sz w:val="23"/>
                <w:szCs w:val="23"/>
              </w:rPr>
              <w:t xml:space="preserve">Article 15  —  </w:t>
            </w:r>
            <w:r>
              <w:rPr>
                <w:rFonts w:ascii="Calibri" w:cs="Calibri" w:eastAsia="Calibri" w:hAnsi="Calibri"/>
                <w:b/>
                <w:bCs/>
                <w:color w:val="C55A11"/>
                <w:sz w:val="23"/>
                <w:szCs w:val="23"/>
              </w:rPr>
              <w:t xml:space="preserve">Dispositions Générales</w:t>
            </w:r>
          </w:p>
        </w:tc>
      </w:tr>
    </w:tbl>
    <w:p>
      <w:pPr>
        <w:spacing w:before="0" w:after="100"/>
      </w:pPr>
    </w:p>
    <w:p>
      <w:pPr>
        <w:spacing w:before="100" w:after="140"/>
      </w:pPr>
      <w:r>
        <w:rPr>
          <w:rFonts w:ascii="Calibri" w:cs="Calibri" w:eastAsia="Calibri" w:hAnsi="Calibri"/>
          <w:color w:val="2C2C2C"/>
          <w:sz w:val="21"/>
          <w:szCs w:val="21"/>
        </w:rPr>
        <w:t xml:space="preserve">Si une clause du présent contrat est déclarée nulle ou inapplicable, les autres clauses restent en vigueur.</w:t>
      </w:r>
    </w:p>
    <w:p>
      <w:pPr>
        <w:spacing w:before="100" w:after="140"/>
      </w:pPr>
      <w:r>
        <w:rPr>
          <w:rFonts w:ascii="Calibri" w:cs="Calibri" w:eastAsia="Calibri" w:hAnsi="Calibri"/>
          <w:color w:val="2C2C2C"/>
          <w:sz w:val="21"/>
          <w:szCs w:val="21"/>
        </w:rPr>
        <w:t xml:space="preserve">Le fait pour l'une des Parties de ne pas exiger l'application d'une clause du contrat ne peut être interprété comme une renonciation à celle-ci.</w:t>
      </w:r>
    </w:p>
    <w:p>
      <w:pPr>
        <w:spacing w:before="100" w:after="140"/>
      </w:pPr>
      <w:r>
        <w:rPr>
          <w:rFonts w:ascii="Calibri" w:cs="Calibri" w:eastAsia="Calibri" w:hAnsi="Calibri"/>
          <w:color w:val="2C2C2C"/>
          <w:sz w:val="21"/>
          <w:szCs w:val="21"/>
        </w:rPr>
        <w:t xml:space="preserve">Le présent contrat et ses annexes constituent l'intégralité de l'accord entre les Parties et remplacent tout accord antérieur, oral ou écrit, relatif à son objet.</w:t>
      </w:r>
    </w:p>
    <w:p>
      <w:pPr>
        <w:spacing w:before="100" w:after="140"/>
      </w:pPr>
      <w:r>
        <w:rPr>
          <w:rFonts w:ascii="Calibri" w:cs="Calibri" w:eastAsia="Calibri" w:hAnsi="Calibri"/>
          <w:color w:val="2C2C2C"/>
          <w:sz w:val="21"/>
          <w:szCs w:val="21"/>
        </w:rPr>
        <w:t xml:space="preserve">Le contrat est établi en deux exemplaires originaux, un pour chaque Partie.</w:t>
      </w:r>
    </w:p>
    <w:p>
      <w:r>
        <w:br w:type="page"/>
      </w:r>
    </w:p>
    <w:p>
      <w:pPr>
        <w:spacing w:before="0" w:after="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3A6B" w:val="clear"/>
            <w:tcMar>
              <w:top w:type="dxa" w:w="220"/>
              <w:left w:type="dxa" w:w="340"/>
              <w:bottom w:type="dxa" w:w="220"/>
              <w:right w:type="dxa" w:w="340"/>
            </w:tcMar>
          </w:tcPr>
          <w:p>
            <w:pPr>
              <w:spacing w:before="0" w:after="0"/>
              <w:jc w:val="center"/>
            </w:pPr>
            <w:r>
              <w:rPr>
                <w:rFonts w:ascii="Calibri" w:cs="Calibri" w:eastAsia="Calibri" w:hAnsi="Calibri"/>
                <w:b/>
                <w:bCs/>
                <w:color w:val="FFFFFF"/>
                <w:sz w:val="24"/>
                <w:szCs w:val="24"/>
              </w:rPr>
              <w:t xml:space="preserve">SIGNATURES — ENGAGEMENT CONTRACTUEL DES PARTIES</w:t>
            </w:r>
          </w:p>
        </w:tc>
      </w:tr>
    </w:tbl>
    <w:p>
      <w:pPr>
        <w:spacing w:before="0" w:after="1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CCCCC" w:sz="1"/>
              <w:left w:val="single" w:color="CCCCCC" w:sz="1"/>
              <w:bottom w:val="single" w:color="CCCCCC" w:sz="1"/>
              <w:right w:val="single" w:color="CCCCCC" w:sz="1"/>
            </w:tcBorders>
            <w:shd w:fill="EBF3FB" w:val="clear"/>
            <w:tcMar>
              <w:top w:type="dxa" w:w="120"/>
              <w:left w:type="dxa" w:w="180"/>
              <w:bottom w:type="dxa" w:w="120"/>
              <w:right w:type="dxa" w:w="180"/>
            </w:tcMar>
          </w:tcPr>
          <w:p>
            <w:pPr>
              <w:spacing w:before="0" w:after="60"/>
            </w:pPr>
            <w:r>
              <w:rPr>
                <w:rFonts w:ascii="Calibri" w:cs="Calibri" w:eastAsia="Calibri" w:hAnsi="Calibri"/>
                <w:b/>
                <w:bCs/>
                <w:color w:val="1B3A6B"/>
                <w:sz w:val="22"/>
                <w:szCs w:val="22"/>
              </w:rPr>
              <w:t xml:space="preserve">LE PRESTATAIRE</w:t>
            </w:r>
          </w:p>
          <w:p>
            <w:pPr>
              <w:spacing w:before="0" w:after="30"/>
            </w:pPr>
            <w:r>
              <w:rPr>
                <w:rFonts w:ascii="Calibri" w:cs="Calibri" w:eastAsia="Calibri" w:hAnsi="Calibri"/>
                <w:sz w:val="21"/>
                <w:szCs w:val="21"/>
              </w:rPr>
              <w:t xml:space="preserve">Nom : _______________________________</w:t>
            </w:r>
          </w:p>
          <w:p>
            <w:pPr>
              <w:spacing w:before="0" w:after="30"/>
            </w:pPr>
            <w:r>
              <w:rPr>
                <w:rFonts w:ascii="Calibri" w:cs="Calibri" w:eastAsia="Calibri" w:hAnsi="Calibri"/>
                <w:sz w:val="21"/>
                <w:szCs w:val="21"/>
              </w:rPr>
              <w:t xml:space="preserve">Qualité : ____________________________</w:t>
            </w:r>
          </w:p>
          <w:p>
            <w:pPr>
              <w:spacing w:before="0" w:after="80"/>
            </w:pPr>
            <w:r>
              <w:rPr>
                <w:rFonts w:ascii="Calibri" w:cs="Calibri" w:eastAsia="Calibri" w:hAnsi="Calibri"/>
                <w:sz w:val="21"/>
                <w:szCs w:val="21"/>
              </w:rPr>
              <w:t xml:space="preserve">Date : _____ / _____ / ___________</w:t>
            </w:r>
          </w:p>
          <w:p>
            <w:pPr>
              <w:spacing w:before="0" w:after="20"/>
            </w:pPr>
            <w:r>
              <w:rPr>
                <w:rFonts w:ascii="Calibri" w:cs="Calibri" w:eastAsia="Calibri" w:hAnsi="Calibri"/>
                <w:i/>
                <w:iCs/>
                <w:color w:val="595959"/>
                <w:sz w:val="18"/>
                <w:szCs w:val="18"/>
              </w:rPr>
              <w:t xml:space="preserve">Mention manuscrite obligatoire : « Lu et approuvé »</w:t>
            </w:r>
          </w:p>
          <w:p>
            <w:pPr>
              <w:spacing w:before="0" w:after="100"/>
            </w:pPr>
          </w:p>
          <w:p>
            <w:pPr>
              <w:pBdr>
                <w:bottom w:val="single" w:color="1B3A6B" w:sz="2"/>
              </w:pBdr>
              <w:spacing w:before="0" w:after="0"/>
            </w:pPr>
          </w:p>
          <w:p>
            <w:pPr>
              <w:spacing w:before="40" w:after="0"/>
              <w:jc w:val="center"/>
            </w:pPr>
            <w:r>
              <w:rPr>
                <w:rFonts w:ascii="Calibri" w:cs="Calibri" w:eastAsia="Calibri" w:hAnsi="Calibri"/>
                <w:i/>
                <w:iCs/>
                <w:color w:val="595959"/>
                <w:sz w:val="17"/>
                <w:szCs w:val="17"/>
              </w:rPr>
              <w:t xml:space="preserve">Signature et cachet</w:t>
            </w:r>
          </w:p>
        </w:tc>
        <w:tc>
          <w:tcPr>
            <w:tcW w:type="dxa" w:w="4680"/>
            <w:tcBorders>
              <w:top w:val="single" w:color="CCCCCC" w:sz="1"/>
              <w:left w:val="single" w:color="CCCCCC" w:sz="1"/>
              <w:bottom w:val="single" w:color="CCCCCC" w:sz="1"/>
              <w:right w:val="single" w:color="CCCCCC" w:sz="1"/>
            </w:tcBorders>
            <w:shd w:fill="FCE4D6" w:val="clear"/>
            <w:tcMar>
              <w:top w:type="dxa" w:w="120"/>
              <w:left w:type="dxa" w:w="180"/>
              <w:bottom w:type="dxa" w:w="120"/>
              <w:right w:type="dxa" w:w="180"/>
            </w:tcMar>
          </w:tcPr>
          <w:p>
            <w:pPr>
              <w:spacing w:before="0" w:after="60"/>
            </w:pPr>
            <w:r>
              <w:rPr>
                <w:rFonts w:ascii="Calibri" w:cs="Calibri" w:eastAsia="Calibri" w:hAnsi="Calibri"/>
                <w:b/>
                <w:bCs/>
                <w:color w:val="C55A11"/>
                <w:sz w:val="22"/>
                <w:szCs w:val="22"/>
              </w:rPr>
              <w:t xml:space="preserve">LE CLIENT (SPONSOR)</w:t>
            </w:r>
          </w:p>
          <w:p>
            <w:pPr>
              <w:spacing w:before="0" w:after="30"/>
            </w:pPr>
            <w:r>
              <w:rPr>
                <w:rFonts w:ascii="Calibri" w:cs="Calibri" w:eastAsia="Calibri" w:hAnsi="Calibri"/>
                <w:sz w:val="21"/>
                <w:szCs w:val="21"/>
              </w:rPr>
              <w:t xml:space="preserve">Nom : _______________________________</w:t>
            </w:r>
          </w:p>
          <w:p>
            <w:pPr>
              <w:spacing w:before="0" w:after="30"/>
            </w:pPr>
            <w:r>
              <w:rPr>
                <w:rFonts w:ascii="Calibri" w:cs="Calibri" w:eastAsia="Calibri" w:hAnsi="Calibri"/>
                <w:sz w:val="21"/>
                <w:szCs w:val="21"/>
              </w:rPr>
              <w:t xml:space="preserve">Qualité : ____________________________</w:t>
            </w:r>
          </w:p>
          <w:p>
            <w:pPr>
              <w:spacing w:before="0" w:after="80"/>
            </w:pPr>
            <w:r>
              <w:rPr>
                <w:rFonts w:ascii="Calibri" w:cs="Calibri" w:eastAsia="Calibri" w:hAnsi="Calibri"/>
                <w:sz w:val="21"/>
                <w:szCs w:val="21"/>
              </w:rPr>
              <w:t xml:space="preserve">Date : _____ / _____ / ___________</w:t>
            </w:r>
          </w:p>
          <w:p>
            <w:pPr>
              <w:spacing w:before="0" w:after="20"/>
            </w:pPr>
            <w:r>
              <w:rPr>
                <w:rFonts w:ascii="Calibri" w:cs="Calibri" w:eastAsia="Calibri" w:hAnsi="Calibri"/>
                <w:i/>
                <w:iCs/>
                <w:color w:val="595959"/>
                <w:sz w:val="18"/>
                <w:szCs w:val="18"/>
              </w:rPr>
              <w:t xml:space="preserve">Mention manuscrite obligatoire : « Lu et approuvé »</w:t>
            </w:r>
          </w:p>
          <w:p>
            <w:pPr>
              <w:spacing w:before="0" w:after="100"/>
            </w:pPr>
          </w:p>
          <w:p>
            <w:pPr>
              <w:pBdr>
                <w:bottom w:val="single" w:color="C55A11" w:sz="2"/>
              </w:pBdr>
              <w:spacing w:before="0" w:after="0"/>
            </w:pPr>
          </w:p>
          <w:p>
            <w:pPr>
              <w:spacing w:before="40" w:after="0"/>
              <w:jc w:val="center"/>
            </w:pPr>
            <w:r>
              <w:rPr>
                <w:rFonts w:ascii="Calibri" w:cs="Calibri" w:eastAsia="Calibri" w:hAnsi="Calibri"/>
                <w:i/>
                <w:iCs/>
                <w:color w:val="595959"/>
                <w:sz w:val="17"/>
                <w:szCs w:val="17"/>
              </w:rPr>
              <w:t xml:space="preserve">Signature et cachet</w:t>
            </w:r>
          </w:p>
        </w:tc>
      </w:tr>
    </w:tbl>
    <w:p>
      <w:pPr>
        <w:spacing w:before="0" w:after="2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2C2C2C" w:val="clear"/>
            <w:tcMar>
              <w:top w:type="dxa" w:w="220"/>
              <w:left w:type="dxa" w:w="340"/>
              <w:bottom w:type="dxa" w:w="220"/>
              <w:right w:type="dxa" w:w="340"/>
            </w:tcMar>
          </w:tcPr>
          <w:p>
            <w:pPr>
              <w:spacing w:before="0" w:after="0"/>
              <w:jc w:val="center"/>
            </w:pPr>
            <w:r>
              <w:rPr>
                <w:rFonts w:ascii="Calibri" w:cs="Calibri" w:eastAsia="Calibri" w:hAnsi="Calibri"/>
                <w:b/>
                <w:bCs/>
                <w:color w:val="FFFFFF"/>
                <w:sz w:val="22"/>
                <w:szCs w:val="22"/>
              </w:rPr>
              <w:t xml:space="preserve">LISTE DES ANNEXES</w:t>
            </w:r>
          </w:p>
        </w:tc>
      </w:tr>
    </w:tbl>
    <w:p>
      <w:pPr>
        <w:spacing w:before="0"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4600"/>
        <w:gridCol w:w="1200"/>
        <w:gridCol w:w="2360"/>
      </w:tblGrid>
      <w:tr>
        <w:trPr>
          <w:tblHeader/>
        </w:trPr>
        <w:tc>
          <w:tcPr>
            <w:tcW w:type="dxa" w:w="1200"/>
            <w:tcBorders>
              <w:top w:val="single" w:color="FFFFFF" w:sz="1"/>
              <w:left w:val="single" w:color="FFFFFF" w:sz="1"/>
              <w:bottom w:val="single" w:color="FFFFFF" w:sz="1"/>
              <w:right w:val="single" w:color="FFFFFF" w:sz="1"/>
            </w:tcBorders>
            <w:shd w:fill="1B3A6B" w:val="clear"/>
            <w:tcMar>
              <w:top w:type="dxa" w:w="80"/>
              <w:left w:type="dxa" w:w="120"/>
              <w:bottom w:type="dxa" w:w="80"/>
              <w:right w:type="dxa" w:w="120"/>
            </w:tcMar>
          </w:tcPr>
          <w:p>
            <w:pPr>
              <w:spacing w:before="0" w:after="0"/>
              <w:jc w:val="center"/>
            </w:pPr>
            <w:r>
              <w:rPr>
                <w:rFonts w:ascii="Calibri" w:cs="Calibri" w:eastAsia="Calibri" w:hAnsi="Calibri"/>
                <w:b/>
                <w:bCs/>
                <w:color w:val="FFFFFF"/>
                <w:sz w:val="19"/>
                <w:szCs w:val="19"/>
              </w:rPr>
              <w:t xml:space="preserve">RÉFÉRENCE</w:t>
            </w:r>
          </w:p>
        </w:tc>
        <w:tc>
          <w:tcPr>
            <w:tcW w:type="dxa" w:w="4600"/>
            <w:tcBorders>
              <w:top w:val="single" w:color="FFFFFF" w:sz="1"/>
              <w:left w:val="single" w:color="FFFFFF" w:sz="1"/>
              <w:bottom w:val="single" w:color="FFFFFF" w:sz="1"/>
              <w:right w:val="single" w:color="FFFFFF" w:sz="1"/>
            </w:tcBorders>
            <w:shd w:fill="1B3A6B" w:val="clear"/>
            <w:tcMar>
              <w:top w:type="dxa" w:w="80"/>
              <w:left w:type="dxa" w:w="120"/>
              <w:bottom w:type="dxa" w:w="80"/>
              <w:right w:type="dxa" w:w="120"/>
            </w:tcMar>
          </w:tcPr>
          <w:p>
            <w:pPr>
              <w:spacing w:before="0" w:after="0"/>
              <w:jc w:val="center"/>
            </w:pPr>
            <w:r>
              <w:rPr>
                <w:rFonts w:ascii="Calibri" w:cs="Calibri" w:eastAsia="Calibri" w:hAnsi="Calibri"/>
                <w:b/>
                <w:bCs/>
                <w:color w:val="FFFFFF"/>
                <w:sz w:val="19"/>
                <w:szCs w:val="19"/>
              </w:rPr>
              <w:t xml:space="preserve">TITRE DE L'ANNEXE</w:t>
            </w:r>
          </w:p>
        </w:tc>
        <w:tc>
          <w:tcPr>
            <w:tcW w:type="dxa" w:w="1200"/>
            <w:tcBorders>
              <w:top w:val="single" w:color="FFFFFF" w:sz="1"/>
              <w:left w:val="single" w:color="FFFFFF" w:sz="1"/>
              <w:bottom w:val="single" w:color="FFFFFF" w:sz="1"/>
              <w:right w:val="single" w:color="FFFFFF" w:sz="1"/>
            </w:tcBorders>
            <w:shd w:fill="1B3A6B" w:val="clear"/>
            <w:tcMar>
              <w:top w:type="dxa" w:w="80"/>
              <w:left w:type="dxa" w:w="120"/>
              <w:bottom w:type="dxa" w:w="80"/>
              <w:right w:type="dxa" w:w="120"/>
            </w:tcMar>
          </w:tcPr>
          <w:p>
            <w:pPr>
              <w:spacing w:before="0" w:after="0"/>
              <w:jc w:val="center"/>
            </w:pPr>
            <w:r>
              <w:rPr>
                <w:rFonts w:ascii="Calibri" w:cs="Calibri" w:eastAsia="Calibri" w:hAnsi="Calibri"/>
                <w:b/>
                <w:bCs/>
                <w:color w:val="FFFFFF"/>
                <w:sz w:val="19"/>
                <w:szCs w:val="19"/>
              </w:rPr>
              <w:t xml:space="preserve">PAGES</w:t>
            </w:r>
          </w:p>
        </w:tc>
        <w:tc>
          <w:tcPr>
            <w:tcW w:type="dxa" w:w="2360"/>
            <w:tcBorders>
              <w:top w:val="single" w:color="FFFFFF" w:sz="1"/>
              <w:left w:val="single" w:color="FFFFFF" w:sz="1"/>
              <w:bottom w:val="single" w:color="FFFFFF" w:sz="1"/>
              <w:right w:val="single" w:color="FFFFFF" w:sz="1"/>
            </w:tcBorders>
            <w:shd w:fill="1B3A6B" w:val="clear"/>
            <w:tcMar>
              <w:top w:type="dxa" w:w="80"/>
              <w:left w:type="dxa" w:w="120"/>
              <w:bottom w:type="dxa" w:w="80"/>
              <w:right w:type="dxa" w:w="120"/>
            </w:tcMar>
          </w:tcPr>
          <w:p>
            <w:pPr>
              <w:spacing w:before="0" w:after="0"/>
              <w:jc w:val="center"/>
            </w:pPr>
            <w:r>
              <w:rPr>
                <w:rFonts w:ascii="Calibri" w:cs="Calibri" w:eastAsia="Calibri" w:hAnsi="Calibri"/>
                <w:b/>
                <w:bCs/>
                <w:color w:val="FFFFFF"/>
                <w:sz w:val="19"/>
                <w:szCs w:val="19"/>
              </w:rPr>
              <w:t xml:space="preserve">STATUT</w:t>
            </w:r>
          </w:p>
        </w:tc>
      </w:tr>
      <w:tr>
        <w:tc>
          <w:tcPr>
            <w:tcW w:type="dxa" w:w="1200"/>
            <w:tcBorders>
              <w:top w:val="single" w:color="CCCCCC" w:sz="1"/>
              <w:left w:val="single" w:color="CCCCCC" w:sz="1"/>
              <w:bottom w:val="single" w:color="CCCCCC" w:sz="1"/>
              <w:right w:val="single" w:color="CCCCCC" w:sz="1"/>
            </w:tcBorders>
            <w:shd w:fill="EBF3FB"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Annexe A</w:t>
            </w:r>
          </w:p>
        </w:tc>
        <w:tc>
          <w:tcPr>
            <w:tcW w:type="dxa" w:w="4600"/>
            <w:tcBorders>
              <w:top w:val="single" w:color="CCCCCC" w:sz="1"/>
              <w:left w:val="single" w:color="CCCCCC" w:sz="1"/>
              <w:bottom w:val="single" w:color="CCCCCC" w:sz="1"/>
              <w:right w:val="single" w:color="CCCCCC" w:sz="1"/>
            </w:tcBorders>
            <w:shd w:fill="EBF3FB"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Project Charter signé (Outil 3.1)</w:t>
            </w:r>
          </w:p>
        </w:tc>
        <w:tc>
          <w:tcPr>
            <w:tcW w:type="dxa" w:w="1200"/>
            <w:tcBorders>
              <w:top w:val="single" w:color="CCCCCC" w:sz="1"/>
              <w:left w:val="single" w:color="CCCCCC" w:sz="1"/>
              <w:bottom w:val="single" w:color="CCCCCC" w:sz="1"/>
              <w:right w:val="single" w:color="CCCCCC" w:sz="1"/>
            </w:tcBorders>
            <w:shd w:fill="EBF3FB"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[__]</w:t>
            </w:r>
          </w:p>
        </w:tc>
        <w:tc>
          <w:tcPr>
            <w:tcW w:type="dxa" w:w="2360"/>
            <w:tcBorders>
              <w:top w:val="single" w:color="CCCCCC" w:sz="1"/>
              <w:left w:val="single" w:color="CCCCCC" w:sz="1"/>
              <w:bottom w:val="single" w:color="CCCCCC" w:sz="1"/>
              <w:right w:val="single" w:color="CCCCCC" w:sz="1"/>
            </w:tcBorders>
            <w:shd w:fill="EBF3FB"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 Annexé</w:t>
            </w:r>
          </w:p>
        </w:tc>
      </w:tr>
      <w:tr>
        <w:tc>
          <w:tcPr>
            <w:tcW w:type="dxa" w:w="1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Annexe B</w:t>
            </w:r>
          </w:p>
        </w:tc>
        <w:tc>
          <w:tcPr>
            <w:tcW w:type="dxa" w:w="4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Proposition commerciale acceptée</w:t>
            </w:r>
          </w:p>
        </w:tc>
        <w:tc>
          <w:tcPr>
            <w:tcW w:type="dxa" w:w="1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[__]</w:t>
            </w:r>
          </w:p>
        </w:tc>
        <w:tc>
          <w:tcPr>
            <w:tcW w:type="dxa" w:w="23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 Annexé</w:t>
            </w:r>
          </w:p>
        </w:tc>
      </w:tr>
      <w:tr>
        <w:tc>
          <w:tcPr>
            <w:tcW w:type="dxa" w:w="1200"/>
            <w:tcBorders>
              <w:top w:val="single" w:color="CCCCCC" w:sz="1"/>
              <w:left w:val="single" w:color="CCCCCC" w:sz="1"/>
              <w:bottom w:val="single" w:color="CCCCCC" w:sz="1"/>
              <w:right w:val="single" w:color="CCCCCC" w:sz="1"/>
            </w:tcBorders>
            <w:shd w:fill="EBF3FB"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Annexe C</w:t>
            </w:r>
          </w:p>
        </w:tc>
        <w:tc>
          <w:tcPr>
            <w:tcW w:type="dxa" w:w="4600"/>
            <w:tcBorders>
              <w:top w:val="single" w:color="CCCCCC" w:sz="1"/>
              <w:left w:val="single" w:color="CCCCCC" w:sz="1"/>
              <w:bottom w:val="single" w:color="CCCCCC" w:sz="1"/>
              <w:right w:val="single" w:color="CCCCCC" w:sz="1"/>
            </w:tcBorders>
            <w:shd w:fill="EBF3FB"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Liste des entreprises concurrentes (clause non-concurrence)</w:t>
            </w:r>
          </w:p>
        </w:tc>
        <w:tc>
          <w:tcPr>
            <w:tcW w:type="dxa" w:w="1200"/>
            <w:tcBorders>
              <w:top w:val="single" w:color="CCCCCC" w:sz="1"/>
              <w:left w:val="single" w:color="CCCCCC" w:sz="1"/>
              <w:bottom w:val="single" w:color="CCCCCC" w:sz="1"/>
              <w:right w:val="single" w:color="CCCCCC" w:sz="1"/>
            </w:tcBorders>
            <w:shd w:fill="EBF3FB"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[__]</w:t>
            </w:r>
          </w:p>
        </w:tc>
        <w:tc>
          <w:tcPr>
            <w:tcW w:type="dxa" w:w="2360"/>
            <w:tcBorders>
              <w:top w:val="single" w:color="CCCCCC" w:sz="1"/>
              <w:left w:val="single" w:color="CCCCCC" w:sz="1"/>
              <w:bottom w:val="single" w:color="CCCCCC" w:sz="1"/>
              <w:right w:val="single" w:color="CCCCCC" w:sz="1"/>
            </w:tcBorders>
            <w:shd w:fill="EBF3FB"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 Annexé</w:t>
            </w:r>
          </w:p>
        </w:tc>
      </w:tr>
      <w:tr>
        <w:tc>
          <w:tcPr>
            <w:tcW w:type="dxa" w:w="1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Annexe D</w:t>
            </w:r>
          </w:p>
        </w:tc>
        <w:tc>
          <w:tcPr>
            <w:tcW w:type="dxa" w:w="46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Matrice RACI (Outil 3.2)</w:t>
            </w:r>
          </w:p>
        </w:tc>
        <w:tc>
          <w:tcPr>
            <w:tcW w:type="dxa" w:w="120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[__]</w:t>
            </w:r>
          </w:p>
        </w:tc>
        <w:tc>
          <w:tcPr>
            <w:tcW w:type="dxa" w:w="2360"/>
            <w:tcBorders>
              <w:top w:val="single" w:color="CCCCCC" w:sz="1"/>
              <w:left w:val="single" w:color="CCCCCC" w:sz="1"/>
              <w:bottom w:val="single" w:color="CCCCCC" w:sz="1"/>
              <w:right w:val="single" w:color="CCCCCC" w:sz="1"/>
            </w:tcBorders>
            <w:shd w:fill="FFFFFF"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 Annexé</w:t>
            </w:r>
          </w:p>
        </w:tc>
      </w:tr>
      <w:tr>
        <w:tc>
          <w:tcPr>
            <w:tcW w:type="dxa" w:w="1200"/>
            <w:tcBorders>
              <w:top w:val="single" w:color="CCCCCC" w:sz="1"/>
              <w:left w:val="single" w:color="CCCCCC" w:sz="1"/>
              <w:bottom w:val="single" w:color="CCCCCC" w:sz="1"/>
              <w:right w:val="single" w:color="CCCCCC" w:sz="1"/>
            </w:tcBorders>
            <w:shd w:fill="EBF3FB"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Annexe E</w:t>
            </w:r>
          </w:p>
        </w:tc>
        <w:tc>
          <w:tcPr>
            <w:tcW w:type="dxa" w:w="4600"/>
            <w:tcBorders>
              <w:top w:val="single" w:color="CCCCCC" w:sz="1"/>
              <w:left w:val="single" w:color="CCCCCC" w:sz="1"/>
              <w:bottom w:val="single" w:color="CCCCCC" w:sz="1"/>
              <w:right w:val="single" w:color="CCCCCC" w:sz="1"/>
            </w:tcBorders>
            <w:shd w:fill="EBF3FB"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Conditions Générales de Vente du Prestataire</w:t>
            </w:r>
          </w:p>
        </w:tc>
        <w:tc>
          <w:tcPr>
            <w:tcW w:type="dxa" w:w="1200"/>
            <w:tcBorders>
              <w:top w:val="single" w:color="CCCCCC" w:sz="1"/>
              <w:left w:val="single" w:color="CCCCCC" w:sz="1"/>
              <w:bottom w:val="single" w:color="CCCCCC" w:sz="1"/>
              <w:right w:val="single" w:color="CCCCCC" w:sz="1"/>
            </w:tcBorders>
            <w:shd w:fill="EBF3FB"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[__]</w:t>
            </w:r>
          </w:p>
        </w:tc>
        <w:tc>
          <w:tcPr>
            <w:tcW w:type="dxa" w:w="2360"/>
            <w:tcBorders>
              <w:top w:val="single" w:color="CCCCCC" w:sz="1"/>
              <w:left w:val="single" w:color="CCCCCC" w:sz="1"/>
              <w:bottom w:val="single" w:color="CCCCCC" w:sz="1"/>
              <w:right w:val="single" w:color="CCCCCC" w:sz="1"/>
            </w:tcBorders>
            <w:shd w:fill="EBF3FB" w:val="clear"/>
            <w:tcMar>
              <w:top w:type="dxa" w:w="70"/>
              <w:left w:type="dxa" w:w="120"/>
              <w:bottom w:type="dxa" w:w="70"/>
              <w:right w:type="dxa" w:w="120"/>
            </w:tcMar>
            <w:vAlign w:val="center"/>
          </w:tcPr>
          <w:p>
            <w:pPr>
              <w:spacing w:before="0" w:after="0"/>
            </w:pPr>
            <w:r>
              <w:rPr>
                <w:rFonts w:ascii="Calibri" w:cs="Calibri" w:eastAsia="Calibri" w:hAnsi="Calibri"/>
                <w:color w:val="2C2C2C"/>
                <w:sz w:val="19"/>
                <w:szCs w:val="19"/>
              </w:rPr>
              <w:t xml:space="preserve">☐ Annexé</w:t>
            </w:r>
          </w:p>
        </w:tc>
      </w:tr>
    </w:tbl>
    <w:p>
      <w:pPr>
        <w:spacing w:before="0" w:after="200"/>
      </w:pPr>
    </w:p>
    <w:p>
      <w:pPr>
        <w:spacing w:before="0" w:after="0"/>
        <w:jc w:val="center"/>
      </w:pPr>
      <w:r>
        <w:rPr>
          <w:rFonts w:ascii="Calibri" w:cs="Calibri" w:eastAsia="Calibri" w:hAnsi="Calibri"/>
          <w:i/>
          <w:iCs/>
          <w:color w:val="595959"/>
          <w:sz w:val="18"/>
          <w:szCs w:val="18"/>
        </w:rPr>
        <w:t xml:space="preserve">Contrat établi en deux (2) exemplaires originaux — Un pour chaque Partie</w:t>
      </w:r>
    </w:p>
    <w:sectPr>
      <w:headerReference w:type="default" r:id="rId6"/>
      <w:footerReference w:type="default" r:id="rId7"/>
      <w:pgSz w:w="11906" w:h="16838" w:orient="portrait"/>
      <w:pgMar w:top="1000" w:right="1100" w:bottom="1000" w:left="11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1B3A6B" w:sz="4"/>
      </w:pBdr>
      <w:spacing w:before="80" w:after="0"/>
      <w:jc w:val="center"/>
    </w:pPr>
    <w:r>
      <w:rPr>
        <w:rFonts w:ascii="Calibri" w:cs="Calibri" w:eastAsia="Calibri" w:hAnsi="Calibri"/>
        <w:color w:val="595959"/>
        <w:sz w:val="15"/>
        <w:szCs w:val="15"/>
      </w:rPr>
      <w:t xml:space="preserve">CONTRAT DE MISSION  ·  Document confidentiel  ·  © 2024 — Tous droits réservés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B3A6B" w:sz="6"/>
      </w:pBdr>
      <w:spacing w:before="0" w:after="80"/>
    </w:pPr>
    <w:r>
      <w:rPr>
        <w:rFonts w:ascii="Calibri" w:cs="Calibri" w:eastAsia="Calibri" w:hAnsi="Calibri"/>
        <w:b/>
        <w:bCs/>
        <w:color w:val="1B3A6B"/>
        <w:sz w:val="17"/>
        <w:szCs w:val="17"/>
      </w:rPr>
      <w:t xml:space="preserve">OUTIL 3.3  —  CONTRAT DE MISSION DE CONSULTING EN EXCELLENCE OPÉRATIONNELLE</w:t>
    </w:r>
    <w:r>
      <w:rPr>
        <w:rFonts w:ascii="Calibri" w:cs="Calibri" w:eastAsia="Calibri" w:hAnsi="Calibri"/>
        <w:color w:val="595959"/>
        <w:sz w:val="17"/>
        <w:szCs w:val="17"/>
      </w:rPr>
      <w:t xml:space="preserve">      |      Excellence Opérationnelle — Lean · Six Sigma · SMED · Kaizen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300"/>
      </w:pPr>
    </w:lvl>
  </w:abstractNum>
  <w:abstractNum w:abstractNumId="3" w15:restartNumberingAfterBreak="0">
    <w:multiLevelType w:val="hybridMultilevel"/>
    <w:lvl w:ilvl="0" w15:tentative="1">
      <w:start w:val="1"/>
      <w:numFmt w:val="decimal"/>
      <w:lvlText w:val="%1."/>
      <w:lvlJc w:val="left"/>
      <w:pPr>
        <w:ind w:left="600" w:hanging="360"/>
      </w:pPr>
    </w:lvl>
  </w:abstractNum>
  <w:abstractNum w:abstractNumId="4" w15:restartNumberingAfterBreak="0">
    <w:multiLevelType w:val="hybridMultilevel"/>
    <w:lvl w:ilvl="0" w15:tentative="1">
      <w:start w:val="1"/>
      <w:numFmt w:val="lowerLetter"/>
      <w:lvlText w:val="%1."/>
      <w:lvlJc w:val="left"/>
      <w:pPr>
        <w:ind w:left="60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180"/>
      <w:outlineLvl w:val="0"/>
    </w:pPr>
    <w:rPr>
      <w:rFonts w:ascii="Calibri" w:cs="Calibri" w:eastAsia="Calibri" w:hAnsi="Calibri"/>
      <w:b/>
      <w:bCs/>
      <w:color w:val="1B3A6B"/>
      <w:sz w:val="34"/>
      <w:szCs w:val="34"/>
    </w:rPr>
  </w:style>
  <w:style w:type="paragraph" w:styleId="Heading2">
    <w:name w:val="Heading 2"/>
    <w:basedOn w:val="Normal"/>
    <w:next w:val="Normal"/>
    <w:qFormat/>
    <w:pPr>
      <w:spacing w:before="280" w:after="140"/>
      <w:outlineLvl w:val="1"/>
    </w:pPr>
    <w:rPr>
      <w:rFonts w:ascii="Calibri" w:cs="Calibri" w:eastAsia="Calibri" w:hAnsi="Calibri"/>
      <w:b/>
      <w:bCs/>
      <w:color w:val="2E75B6"/>
      <w:sz w:val="26"/>
      <w:szCs w:val="26"/>
    </w:rPr>
  </w:style>
  <w:style w:type="paragraph" w:styleId="Heading3">
    <w:name w:val="Heading 3"/>
    <w:basedOn w:val="Normal"/>
    <w:next w:val="Normal"/>
    <w:qFormat/>
    <w:pPr>
      <w:spacing w:before="200" w:after="100"/>
      <w:outlineLvl w:val="2"/>
    </w:pPr>
    <w:rPr>
      <w:rFonts w:ascii="Calibri" w:cs="Calibri" w:eastAsia="Calibri" w:hAnsi="Calibri"/>
      <w:b/>
      <w:bCs/>
      <w:color w:val="C55A11"/>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2026-03-29T16:06:23.709Z</dcterms:created>
  <dcterms:modified xsi:type="dcterms:W3CDTF">2026-03-29T16:06:23.709Z</dcterms:modified>
</cp:coreProperties>
</file>

<file path=docProps/custom.xml><?xml version="1.0" encoding="utf-8"?>
<Properties xmlns="http://schemas.openxmlformats.org/officeDocument/2006/custom-properties" xmlns:vt="http://schemas.openxmlformats.org/officeDocument/2006/docPropsVTypes"/>
</file>